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59CE3" w14:textId="73643E36" w:rsidR="00FB1960" w:rsidRDefault="008732D5" w:rsidP="00FB1960">
      <w:pPr>
        <w:pStyle w:val="Overskrift2-ikkenummereret"/>
        <w:spacing w:line="360" w:lineRule="atLeast"/>
        <w:jc w:val="left"/>
        <w:rPr>
          <w:rFonts w:ascii="Inter" w:hAnsi="Inter"/>
          <w:bCs/>
          <w:spacing w:val="6"/>
          <w:sz w:val="36"/>
        </w:rPr>
      </w:pPr>
      <w:proofErr w:type="spellStart"/>
      <w:r w:rsidRPr="00D16C39">
        <w:rPr>
          <w:rFonts w:ascii="Inter" w:hAnsi="Inter"/>
          <w:bCs/>
          <w:spacing w:val="6"/>
          <w:sz w:val="36"/>
        </w:rPr>
        <w:t>VIVEs</w:t>
      </w:r>
      <w:proofErr w:type="spellEnd"/>
      <w:r w:rsidRPr="00D16C39">
        <w:rPr>
          <w:rFonts w:ascii="Inter" w:hAnsi="Inter"/>
          <w:bCs/>
          <w:spacing w:val="6"/>
          <w:sz w:val="36"/>
        </w:rPr>
        <w:t xml:space="preserve"> kommunetal 202</w:t>
      </w:r>
      <w:r w:rsidR="00FB1960">
        <w:rPr>
          <w:rFonts w:ascii="Inter" w:hAnsi="Inter"/>
          <w:bCs/>
          <w:spacing w:val="6"/>
          <w:sz w:val="36"/>
        </w:rPr>
        <w:t>4</w:t>
      </w:r>
      <w:r w:rsidRPr="00D16C39">
        <w:rPr>
          <w:rFonts w:ascii="Inter" w:hAnsi="Inter"/>
          <w:bCs/>
          <w:spacing w:val="6"/>
          <w:sz w:val="36"/>
        </w:rPr>
        <w:t>.</w:t>
      </w:r>
      <w:r w:rsidR="00FB1960">
        <w:rPr>
          <w:rFonts w:ascii="Inter" w:hAnsi="Inter"/>
          <w:bCs/>
          <w:spacing w:val="6"/>
          <w:sz w:val="36"/>
        </w:rPr>
        <w:t>3</w:t>
      </w:r>
      <w:r w:rsidRPr="00D16C39">
        <w:rPr>
          <w:rFonts w:ascii="Inter" w:hAnsi="Inter"/>
          <w:bCs/>
          <w:spacing w:val="6"/>
          <w:sz w:val="36"/>
        </w:rPr>
        <w:t xml:space="preserve">: </w:t>
      </w:r>
      <w:r w:rsidR="007B00DD" w:rsidRPr="007B00DD">
        <w:rPr>
          <w:rFonts w:ascii="Inter" w:hAnsi="Inter"/>
          <w:bCs/>
          <w:spacing w:val="6"/>
          <w:sz w:val="36"/>
        </w:rPr>
        <w:t>Kommunerne overskrider igen budgetterne for udsatte grupper</w:t>
      </w:r>
      <w:r w:rsidR="007B00DD" w:rsidRPr="007B00DD" w:rsidDel="007B00DD">
        <w:rPr>
          <w:rFonts w:ascii="Inter" w:hAnsi="Inter"/>
          <w:bCs/>
          <w:spacing w:val="6"/>
          <w:sz w:val="36"/>
        </w:rPr>
        <w:t xml:space="preserve"> </w:t>
      </w:r>
    </w:p>
    <w:p w14:paraId="405B3102" w14:textId="0A0AE0A6" w:rsidR="008732D5" w:rsidRPr="00A95AE3" w:rsidRDefault="00283268" w:rsidP="00FB1960">
      <w:pPr>
        <w:pStyle w:val="Overskrift2-ikkenummereret"/>
        <w:spacing w:before="0" w:after="360" w:line="360" w:lineRule="atLeast"/>
        <w:jc w:val="left"/>
        <w:rPr>
          <w:rFonts w:ascii="Inter" w:hAnsi="Inter"/>
          <w:bCs/>
          <w:spacing w:val="6"/>
          <w:sz w:val="36"/>
        </w:rPr>
      </w:pPr>
      <w:r>
        <w:rPr>
          <w:rFonts w:ascii="Inter" w:hAnsi="Inter"/>
        </w:rPr>
        <w:t xml:space="preserve">Kommunerne </w:t>
      </w:r>
      <w:r w:rsidR="005E6CCA">
        <w:rPr>
          <w:rFonts w:ascii="Inter" w:hAnsi="Inter"/>
        </w:rPr>
        <w:t xml:space="preserve">har </w:t>
      </w:r>
      <w:r w:rsidR="00D47362">
        <w:rPr>
          <w:rFonts w:ascii="Inter" w:hAnsi="Inter"/>
        </w:rPr>
        <w:t>samlet set overholdt budgettet for serviceudgifter</w:t>
      </w:r>
      <w:r w:rsidR="005E6CCA">
        <w:rPr>
          <w:rFonts w:ascii="Inter" w:hAnsi="Inter"/>
        </w:rPr>
        <w:t xml:space="preserve"> i 2023</w:t>
      </w:r>
      <w:r w:rsidR="008732D5" w:rsidRPr="00A95AE3">
        <w:rPr>
          <w:rFonts w:ascii="Inter" w:hAnsi="Inter"/>
        </w:rPr>
        <w:t>. Dog over</w:t>
      </w:r>
      <w:r w:rsidR="008732D5" w:rsidRPr="00A95AE3">
        <w:rPr>
          <w:rFonts w:ascii="Inter" w:hAnsi="Inter"/>
        </w:rPr>
        <w:softHyphen/>
        <w:t xml:space="preserve">skrider kommunerne fortsat budgetterne </w:t>
      </w:r>
      <w:r w:rsidR="00716C61">
        <w:rPr>
          <w:rFonts w:ascii="Inter" w:hAnsi="Inter"/>
        </w:rPr>
        <w:t>til</w:t>
      </w:r>
      <w:r w:rsidR="008732D5" w:rsidRPr="00A95AE3">
        <w:rPr>
          <w:rFonts w:ascii="Inter" w:hAnsi="Inter"/>
        </w:rPr>
        <w:t xml:space="preserve"> børn, unge og voksne med særlige behov.</w:t>
      </w:r>
    </w:p>
    <w:p w14:paraId="34782414" w14:textId="146D3B9A" w:rsidR="005E6CCA" w:rsidRDefault="00292BAD" w:rsidP="00FB1960">
      <w:pPr>
        <w:jc w:val="left"/>
        <w:rPr>
          <w:rFonts w:ascii="Inter" w:hAnsi="Inter"/>
          <w:szCs w:val="20"/>
        </w:rPr>
      </w:pPr>
      <w:r>
        <w:rPr>
          <w:rFonts w:ascii="Inter" w:hAnsi="Inter"/>
          <w:szCs w:val="20"/>
        </w:rPr>
        <w:t>For 1</w:t>
      </w:r>
      <w:r w:rsidR="00591EE1">
        <w:rPr>
          <w:rFonts w:ascii="Inter" w:hAnsi="Inter"/>
          <w:szCs w:val="20"/>
        </w:rPr>
        <w:t>3</w:t>
      </w:r>
      <w:r>
        <w:rPr>
          <w:rFonts w:ascii="Inter" w:hAnsi="Inter"/>
          <w:szCs w:val="20"/>
        </w:rPr>
        <w:t>. år i træk holder kommunerne sig inden for</w:t>
      </w:r>
      <w:r w:rsidR="00C77B24">
        <w:rPr>
          <w:rFonts w:ascii="Inter" w:hAnsi="Inter"/>
          <w:szCs w:val="20"/>
        </w:rPr>
        <w:t xml:space="preserve"> budgetterne</w:t>
      </w:r>
      <w:r w:rsidR="00FD5FA0">
        <w:rPr>
          <w:rFonts w:ascii="Inter" w:hAnsi="Inter"/>
          <w:szCs w:val="20"/>
        </w:rPr>
        <w:t xml:space="preserve"> til kommunal service – dvs. dagtilbud, folkeskole</w:t>
      </w:r>
      <w:r w:rsidR="00C46023">
        <w:rPr>
          <w:rFonts w:ascii="Inter" w:hAnsi="Inter"/>
          <w:szCs w:val="20"/>
        </w:rPr>
        <w:t>,</w:t>
      </w:r>
      <w:r w:rsidR="00FD5FA0">
        <w:rPr>
          <w:rFonts w:ascii="Inter" w:hAnsi="Inter"/>
          <w:szCs w:val="20"/>
        </w:rPr>
        <w:t xml:space="preserve"> ældrepleje og andre velfærdsområder</w:t>
      </w:r>
      <w:r>
        <w:rPr>
          <w:rFonts w:ascii="Inter" w:hAnsi="Inter"/>
          <w:szCs w:val="20"/>
        </w:rPr>
        <w:t xml:space="preserve">. </w:t>
      </w:r>
      <w:r w:rsidR="00C77B24">
        <w:rPr>
          <w:rFonts w:ascii="Inter" w:hAnsi="Inter"/>
          <w:lang w:eastAsia="en-US"/>
        </w:rPr>
        <w:t>D</w:t>
      </w:r>
      <w:r w:rsidR="005655CD" w:rsidRPr="006A3CDF">
        <w:rPr>
          <w:rFonts w:ascii="Inter" w:hAnsi="Inter"/>
          <w:lang w:eastAsia="en-US"/>
        </w:rPr>
        <w:t xml:space="preserve">er </w:t>
      </w:r>
      <w:r w:rsidR="00C77B24">
        <w:rPr>
          <w:rFonts w:ascii="Inter" w:hAnsi="Inter"/>
          <w:lang w:eastAsia="en-US"/>
        </w:rPr>
        <w:t xml:space="preserve">er dog </w:t>
      </w:r>
      <w:r w:rsidR="005655CD" w:rsidRPr="006A3CDF">
        <w:rPr>
          <w:rFonts w:ascii="Inter" w:hAnsi="Inter"/>
          <w:lang w:eastAsia="en-US"/>
        </w:rPr>
        <w:t xml:space="preserve">stor </w:t>
      </w:r>
      <w:r w:rsidR="005655CD">
        <w:rPr>
          <w:rFonts w:ascii="Inter" w:hAnsi="Inter"/>
          <w:lang w:eastAsia="en-US"/>
        </w:rPr>
        <w:t>forskel i budgetoverholdelsen mellem serviceområderne</w:t>
      </w:r>
      <w:r w:rsidR="005655CD" w:rsidRPr="006A3CDF">
        <w:rPr>
          <w:rFonts w:ascii="Inter" w:hAnsi="Inter"/>
        </w:rPr>
        <w:t>.</w:t>
      </w:r>
      <w:r w:rsidR="005655CD">
        <w:rPr>
          <w:rFonts w:ascii="Inter" w:hAnsi="Inter"/>
        </w:rPr>
        <w:t xml:space="preserve"> På nogle områder er der således budgetoverskridelser</w:t>
      </w:r>
      <w:r w:rsidR="00C77B24">
        <w:rPr>
          <w:rFonts w:ascii="Inter" w:hAnsi="Inter"/>
        </w:rPr>
        <w:t>,</w:t>
      </w:r>
      <w:r w:rsidR="005655CD">
        <w:rPr>
          <w:rFonts w:ascii="Inter" w:hAnsi="Inter"/>
        </w:rPr>
        <w:t xml:space="preserve"> mens der på andre er ’budgetunderskridelser’.</w:t>
      </w:r>
    </w:p>
    <w:p w14:paraId="0573F225" w14:textId="06966552" w:rsidR="008732D5" w:rsidRPr="000B1B73" w:rsidRDefault="00C77B24" w:rsidP="00FB1960">
      <w:pPr>
        <w:jc w:val="left"/>
        <w:rPr>
          <w:rFonts w:ascii="Inter" w:hAnsi="Inter"/>
          <w:highlight w:val="yellow"/>
        </w:rPr>
      </w:pPr>
      <w:r>
        <w:rPr>
          <w:rFonts w:ascii="Inter" w:hAnsi="Inter"/>
          <w:szCs w:val="20"/>
        </w:rPr>
        <w:t>Samlet</w:t>
      </w:r>
      <w:r w:rsidR="007B00DD">
        <w:rPr>
          <w:rFonts w:ascii="Inter" w:hAnsi="Inter"/>
          <w:szCs w:val="20"/>
        </w:rPr>
        <w:t xml:space="preserve"> set </w:t>
      </w:r>
      <w:r w:rsidR="00283268" w:rsidRPr="00283268">
        <w:rPr>
          <w:rFonts w:ascii="Inter" w:hAnsi="Inter"/>
          <w:szCs w:val="20"/>
        </w:rPr>
        <w:t xml:space="preserve">brugte </w:t>
      </w:r>
      <w:r>
        <w:rPr>
          <w:rFonts w:ascii="Inter" w:hAnsi="Inter"/>
          <w:szCs w:val="20"/>
        </w:rPr>
        <w:t xml:space="preserve">kommunerne </w:t>
      </w:r>
      <w:r w:rsidR="00283268" w:rsidRPr="00283268">
        <w:rPr>
          <w:rFonts w:ascii="Inter" w:hAnsi="Inter"/>
          <w:szCs w:val="20"/>
        </w:rPr>
        <w:t>28</w:t>
      </w:r>
      <w:r w:rsidR="00591EE1">
        <w:rPr>
          <w:rFonts w:ascii="Inter" w:hAnsi="Inter"/>
          <w:szCs w:val="20"/>
        </w:rPr>
        <w:t>9</w:t>
      </w:r>
      <w:r w:rsidR="00283268" w:rsidRPr="00283268">
        <w:rPr>
          <w:rFonts w:ascii="Inter" w:hAnsi="Inter"/>
          <w:szCs w:val="20"/>
        </w:rPr>
        <w:t>,</w:t>
      </w:r>
      <w:r w:rsidR="00591EE1">
        <w:rPr>
          <w:rFonts w:ascii="Inter" w:hAnsi="Inter"/>
          <w:szCs w:val="20"/>
        </w:rPr>
        <w:t>3</w:t>
      </w:r>
      <w:r w:rsidR="00283268" w:rsidRPr="00283268">
        <w:rPr>
          <w:rFonts w:ascii="Inter" w:hAnsi="Inter"/>
          <w:szCs w:val="20"/>
        </w:rPr>
        <w:t xml:space="preserve"> mia. kr. på service sidste år. Dermed holder de sig inden for budgetterne, når de</w:t>
      </w:r>
      <w:r w:rsidR="00283268">
        <w:rPr>
          <w:rFonts w:ascii="Inter" w:hAnsi="Inter"/>
          <w:szCs w:val="20"/>
        </w:rPr>
        <w:t>r tages højde for meropgaver som følge af</w:t>
      </w:r>
      <w:r w:rsidR="00283268" w:rsidRPr="00283268">
        <w:rPr>
          <w:rFonts w:ascii="Inter" w:hAnsi="Inter"/>
          <w:szCs w:val="20"/>
        </w:rPr>
        <w:t xml:space="preserve"> </w:t>
      </w:r>
      <w:r w:rsidR="00591EE1">
        <w:rPr>
          <w:rFonts w:ascii="Inter" w:hAnsi="Inter"/>
          <w:lang w:eastAsia="en-US"/>
        </w:rPr>
        <w:t>bl.a. tilkomne</w:t>
      </w:r>
      <w:r w:rsidR="00AD20E2">
        <w:rPr>
          <w:rFonts w:ascii="Inter" w:hAnsi="Inter"/>
          <w:szCs w:val="20"/>
        </w:rPr>
        <w:t xml:space="preserve"> u</w:t>
      </w:r>
      <w:r w:rsidR="00283268">
        <w:rPr>
          <w:rFonts w:ascii="Inter" w:hAnsi="Inter"/>
          <w:szCs w:val="20"/>
        </w:rPr>
        <w:t>kr</w:t>
      </w:r>
      <w:bookmarkStart w:id="0" w:name="_GoBack"/>
      <w:bookmarkEnd w:id="0"/>
      <w:r w:rsidR="00283268">
        <w:rPr>
          <w:rFonts w:ascii="Inter" w:hAnsi="Inter"/>
          <w:szCs w:val="20"/>
        </w:rPr>
        <w:t>ainske flygtninge</w:t>
      </w:r>
      <w:r w:rsidR="00283268" w:rsidRPr="00283268">
        <w:rPr>
          <w:rFonts w:ascii="Inter" w:hAnsi="Inter"/>
          <w:szCs w:val="20"/>
        </w:rPr>
        <w:t xml:space="preserve">. </w:t>
      </w:r>
    </w:p>
    <w:p w14:paraId="44D40FCB" w14:textId="77777777" w:rsidR="00356038" w:rsidRDefault="00356038" w:rsidP="00FB1960">
      <w:pPr>
        <w:pStyle w:val="Overskriftfed0"/>
        <w:rPr>
          <w:rFonts w:ascii="Inter" w:hAnsi="Inter"/>
          <w:lang w:eastAsia="en-US"/>
        </w:rPr>
      </w:pPr>
      <w:r w:rsidRPr="00E44FEA">
        <w:rPr>
          <w:rFonts w:ascii="Inter" w:hAnsi="Inter"/>
          <w:lang w:eastAsia="en-US"/>
        </w:rPr>
        <w:t xml:space="preserve">Kommunerne har sværest ved at holde budgettet på det specialiserede socialområde </w:t>
      </w:r>
    </w:p>
    <w:p w14:paraId="35C547D0" w14:textId="67B3840B" w:rsidR="00356038" w:rsidRPr="00A95AE3" w:rsidRDefault="00E65B99" w:rsidP="00FB1960">
      <w:pPr>
        <w:jc w:val="left"/>
        <w:rPr>
          <w:rFonts w:ascii="Inter" w:hAnsi="Inter"/>
          <w:lang w:eastAsia="en-US"/>
        </w:rPr>
      </w:pPr>
      <w:r>
        <w:rPr>
          <w:rFonts w:ascii="Inter" w:hAnsi="Inter"/>
          <w:lang w:eastAsia="en-US"/>
        </w:rPr>
        <w:t>Mens k</w:t>
      </w:r>
      <w:r w:rsidR="00356038" w:rsidRPr="006A3CDF">
        <w:rPr>
          <w:rFonts w:ascii="Inter" w:hAnsi="Inter"/>
          <w:lang w:eastAsia="en-US"/>
        </w:rPr>
        <w:t xml:space="preserve">ommunerne samlet set har </w:t>
      </w:r>
      <w:r>
        <w:rPr>
          <w:rFonts w:ascii="Inter" w:hAnsi="Inter"/>
          <w:lang w:eastAsia="en-US"/>
        </w:rPr>
        <w:t>overholdt budgetterne til kommunal service</w:t>
      </w:r>
      <w:r w:rsidR="00356038" w:rsidRPr="006A3CDF">
        <w:rPr>
          <w:rFonts w:ascii="Inter" w:hAnsi="Inter"/>
          <w:lang w:eastAsia="en-US"/>
        </w:rPr>
        <w:t xml:space="preserve">, er der stor </w:t>
      </w:r>
      <w:r>
        <w:rPr>
          <w:rFonts w:ascii="Inter" w:hAnsi="Inter"/>
          <w:lang w:eastAsia="en-US"/>
        </w:rPr>
        <w:t>forskel i budgetoverholdelsen mellem serviceområderne</w:t>
      </w:r>
      <w:r w:rsidR="00356038" w:rsidRPr="006A3CDF">
        <w:rPr>
          <w:rFonts w:ascii="Inter" w:hAnsi="Inter"/>
        </w:rPr>
        <w:t>.</w:t>
      </w:r>
      <w:r w:rsidR="00AC44FD">
        <w:rPr>
          <w:rFonts w:ascii="Inter" w:hAnsi="Inter"/>
        </w:rPr>
        <w:t xml:space="preserve"> </w:t>
      </w:r>
      <w:r w:rsidR="00C77B24">
        <w:rPr>
          <w:rFonts w:ascii="Inter" w:hAnsi="Inter"/>
        </w:rPr>
        <w:t xml:space="preserve">Kommunerne har sværest ved at holde budgettet på </w:t>
      </w:r>
      <w:r w:rsidR="00C77B24">
        <w:rPr>
          <w:rFonts w:ascii="Inter" w:hAnsi="Inter"/>
          <w:lang w:eastAsia="en-US"/>
        </w:rPr>
        <w:t>d</w:t>
      </w:r>
      <w:r w:rsidR="00356038" w:rsidRPr="006A3CDF">
        <w:rPr>
          <w:rFonts w:ascii="Inter" w:hAnsi="Inter"/>
          <w:lang w:eastAsia="en-US"/>
        </w:rPr>
        <w:t xml:space="preserve">et specialiserede socialområde. </w:t>
      </w:r>
      <w:r w:rsidR="00FE1A1A" w:rsidRPr="00FE1A1A">
        <w:rPr>
          <w:rFonts w:ascii="Inter" w:hAnsi="Inter"/>
          <w:lang w:eastAsia="en-US"/>
        </w:rPr>
        <w:t xml:space="preserve">Både </w:t>
      </w:r>
      <w:r w:rsidR="00FE1A1A">
        <w:rPr>
          <w:rFonts w:ascii="Inter" w:hAnsi="Inter"/>
          <w:lang w:eastAsia="en-US"/>
        </w:rPr>
        <w:t xml:space="preserve">på </w:t>
      </w:r>
      <w:r w:rsidR="00FE1A1A" w:rsidRPr="00FE1A1A">
        <w:rPr>
          <w:rFonts w:ascii="Inter" w:hAnsi="Inter"/>
          <w:lang w:eastAsia="en-US"/>
        </w:rPr>
        <w:t xml:space="preserve">området for udsatte børn og unge og </w:t>
      </w:r>
      <w:r w:rsidR="00FE1A1A">
        <w:rPr>
          <w:rFonts w:ascii="Inter" w:hAnsi="Inter"/>
          <w:lang w:eastAsia="en-US"/>
        </w:rPr>
        <w:t xml:space="preserve">på </w:t>
      </w:r>
      <w:r w:rsidR="00FE1A1A" w:rsidRPr="00FE1A1A">
        <w:rPr>
          <w:rFonts w:ascii="Inter" w:hAnsi="Inter"/>
          <w:lang w:eastAsia="en-US"/>
        </w:rPr>
        <w:t xml:space="preserve">området for funktionshæmmede, misbrugere og andre voksne med særlige behov </w:t>
      </w:r>
      <w:r w:rsidR="00C77B24">
        <w:rPr>
          <w:rFonts w:ascii="Inter" w:hAnsi="Inter"/>
        </w:rPr>
        <w:t xml:space="preserve">er der </w:t>
      </w:r>
      <w:r w:rsidR="00356038" w:rsidRPr="006A3CDF">
        <w:rPr>
          <w:rFonts w:ascii="Inter" w:hAnsi="Inter"/>
        </w:rPr>
        <w:t xml:space="preserve">betydelige budgetoverskridelser. </w:t>
      </w:r>
      <w:r w:rsidR="00FE1A1A">
        <w:rPr>
          <w:rFonts w:ascii="Inter" w:hAnsi="Inter"/>
        </w:rPr>
        <w:t xml:space="preserve">Også på folkeskoleområdet har der i 2023 været relativt store budgetoverskridelser. </w:t>
      </w:r>
      <w:r w:rsidR="00356038" w:rsidRPr="006A3CDF">
        <w:rPr>
          <w:rFonts w:ascii="Inter" w:hAnsi="Inter"/>
        </w:rPr>
        <w:t xml:space="preserve">Omvendt </w:t>
      </w:r>
      <w:r w:rsidR="00FE1A1A">
        <w:rPr>
          <w:rFonts w:ascii="Inter" w:hAnsi="Inter"/>
        </w:rPr>
        <w:t>rammer</w:t>
      </w:r>
      <w:r w:rsidR="00FE1A1A" w:rsidRPr="006A3CDF">
        <w:rPr>
          <w:rFonts w:ascii="Inter" w:hAnsi="Inter"/>
        </w:rPr>
        <w:t xml:space="preserve"> </w:t>
      </w:r>
      <w:r w:rsidR="00356038" w:rsidRPr="006A3CDF">
        <w:rPr>
          <w:rFonts w:ascii="Inter" w:hAnsi="Inter"/>
        </w:rPr>
        <w:t>kommunerne budget</w:t>
      </w:r>
      <w:r w:rsidR="00B82ABB" w:rsidRPr="006A3CDF">
        <w:rPr>
          <w:rFonts w:ascii="Inter" w:hAnsi="Inter"/>
        </w:rPr>
        <w:t>tet</w:t>
      </w:r>
      <w:r w:rsidR="00356038" w:rsidRPr="006A3CDF">
        <w:rPr>
          <w:rFonts w:ascii="Inter" w:hAnsi="Inter"/>
        </w:rPr>
        <w:t xml:space="preserve"> </w:t>
      </w:r>
      <w:r w:rsidR="00FE1A1A">
        <w:rPr>
          <w:rFonts w:ascii="Inter" w:hAnsi="Inter"/>
        </w:rPr>
        <w:t xml:space="preserve">mere præcist på </w:t>
      </w:r>
      <w:r w:rsidR="00356038" w:rsidRPr="006A3CDF">
        <w:rPr>
          <w:rFonts w:ascii="Inter" w:hAnsi="Inter"/>
        </w:rPr>
        <w:t xml:space="preserve">de fleste andre </w:t>
      </w:r>
      <w:r w:rsidR="00FE1A1A">
        <w:rPr>
          <w:rFonts w:ascii="Inter" w:hAnsi="Inter"/>
        </w:rPr>
        <w:t>service</w:t>
      </w:r>
      <w:r w:rsidR="00356038" w:rsidRPr="006A3CDF">
        <w:rPr>
          <w:rFonts w:ascii="Inter" w:hAnsi="Inter"/>
        </w:rPr>
        <w:t>områder</w:t>
      </w:r>
      <w:r w:rsidR="00FB1960">
        <w:rPr>
          <w:rFonts w:ascii="Inter" w:hAnsi="Inter"/>
        </w:rPr>
        <w:t>,</w:t>
      </w:r>
      <w:r w:rsidR="00356038" w:rsidRPr="006A3CDF">
        <w:rPr>
          <w:rFonts w:ascii="Inter" w:hAnsi="Inter"/>
        </w:rPr>
        <w:t xml:space="preserve"> herunder </w:t>
      </w:r>
      <w:r w:rsidR="00B82ABB" w:rsidRPr="006A3CDF">
        <w:rPr>
          <w:rFonts w:ascii="Inter" w:hAnsi="Inter"/>
        </w:rPr>
        <w:t xml:space="preserve">dagtilbud og </w:t>
      </w:r>
      <w:r w:rsidR="00FE1A1A">
        <w:rPr>
          <w:rFonts w:ascii="Inter" w:hAnsi="Inter"/>
        </w:rPr>
        <w:t>ældreområdet</w:t>
      </w:r>
      <w:r w:rsidR="00356038" w:rsidRPr="006A3CDF">
        <w:rPr>
          <w:rFonts w:ascii="Inter" w:hAnsi="Inter"/>
        </w:rPr>
        <w:t xml:space="preserve">. </w:t>
      </w:r>
      <w:r w:rsidR="00FE1A1A" w:rsidRPr="006A3CDF">
        <w:rPr>
          <w:rFonts w:ascii="Inter" w:hAnsi="Inter"/>
          <w:lang w:eastAsia="en-US"/>
        </w:rPr>
        <w:t>Figur 1 viser den p</w:t>
      </w:r>
      <w:r w:rsidR="00FE1A1A" w:rsidRPr="006A3CDF">
        <w:rPr>
          <w:rFonts w:ascii="Inter" w:hAnsi="Inter"/>
        </w:rPr>
        <w:t>rocentvise budgetoverskridelse på udvalgte serviceområder i 2023 for kommunerne samlet set</w:t>
      </w:r>
      <w:r w:rsidR="00FE1A1A">
        <w:rPr>
          <w:rFonts w:ascii="Inter" w:hAnsi="Inter"/>
        </w:rPr>
        <w:t>.</w:t>
      </w:r>
    </w:p>
    <w:tbl>
      <w:tblPr>
        <w:tblpPr w:leftFromText="141" w:rightFromText="141" w:vertAnchor="text" w:horzAnchor="margin" w:tblpY="59"/>
        <w:tblW w:w="95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26"/>
      </w:tblGrid>
      <w:tr w:rsidR="00356038" w:rsidRPr="00A95AE3" w14:paraId="5A19463A" w14:textId="77777777" w:rsidTr="00FB1960">
        <w:trPr>
          <w:gridAfter w:val="1"/>
          <w:wAfter w:w="26" w:type="dxa"/>
          <w:cantSplit/>
          <w:trHeight w:val="335"/>
        </w:trPr>
        <w:tc>
          <w:tcPr>
            <w:tcW w:w="9498" w:type="dxa"/>
            <w:shd w:val="clear" w:color="auto" w:fill="auto"/>
            <w:tcMar>
              <w:top w:w="0" w:type="dxa"/>
              <w:bottom w:w="57" w:type="dxa"/>
            </w:tcMar>
          </w:tcPr>
          <w:p w14:paraId="6C60D6B1" w14:textId="0970658F" w:rsidR="00356038" w:rsidRPr="00A95AE3" w:rsidRDefault="00356038" w:rsidP="00FB1960">
            <w:pPr>
              <w:pStyle w:val="Figuroverskrift"/>
              <w:ind w:left="851" w:hanging="851"/>
              <w:rPr>
                <w:rFonts w:ascii="Inter" w:hAnsi="Inter"/>
              </w:rPr>
            </w:pPr>
            <w:r w:rsidRPr="00A95AE3">
              <w:rPr>
                <w:rFonts w:ascii="Inter" w:hAnsi="Inter"/>
              </w:rPr>
              <w:t xml:space="preserve">Figur </w:t>
            </w:r>
            <w:r w:rsidR="00416EDA">
              <w:rPr>
                <w:rFonts w:ascii="Inter" w:hAnsi="Inter"/>
                <w:noProof/>
              </w:rPr>
              <w:t>1</w:t>
            </w:r>
            <w:r w:rsidRPr="00A95AE3">
              <w:rPr>
                <w:rFonts w:ascii="Inter" w:hAnsi="Inter"/>
                <w:noProof/>
              </w:rPr>
              <w:t>.</w:t>
            </w:r>
            <w:r w:rsidRPr="00A95AE3">
              <w:rPr>
                <w:rFonts w:ascii="Inter" w:hAnsi="Inter"/>
              </w:rPr>
              <w:tab/>
            </w:r>
            <w:r w:rsidRPr="00A95AE3">
              <w:rPr>
                <w:rFonts w:ascii="Inter" w:hAnsi="Inter"/>
                <w:b w:val="0"/>
              </w:rPr>
              <w:t>Procentvis budgetoverskridelse på udvalgte serviceområder</w:t>
            </w:r>
            <w:r>
              <w:rPr>
                <w:rFonts w:ascii="Inter" w:hAnsi="Inter"/>
                <w:b w:val="0"/>
              </w:rPr>
              <w:t>, 2023</w:t>
            </w:r>
          </w:p>
        </w:tc>
      </w:tr>
      <w:tr w:rsidR="00356038" w:rsidRPr="00A95AE3" w14:paraId="44D6D663" w14:textId="77777777" w:rsidTr="00FB1960">
        <w:tblPrEx>
          <w:tblCellMar>
            <w:left w:w="70" w:type="dxa"/>
            <w:right w:w="70" w:type="dxa"/>
          </w:tblCellMar>
        </w:tblPrEx>
        <w:trPr>
          <w:cantSplit/>
          <w:trHeight w:val="4932"/>
        </w:trPr>
        <w:tc>
          <w:tcPr>
            <w:tcW w:w="9524" w:type="dxa"/>
            <w:gridSpan w:val="2"/>
            <w:shd w:val="clear" w:color="auto" w:fill="auto"/>
          </w:tcPr>
          <w:p w14:paraId="16A7F7B7" w14:textId="77777777" w:rsidR="00356038" w:rsidRPr="00A95AE3" w:rsidRDefault="00356038" w:rsidP="00FB1960">
            <w:pPr>
              <w:pStyle w:val="Figurfelt"/>
              <w:keepNext/>
              <w:rPr>
                <w:rFonts w:ascii="Inter" w:hAnsi="Inter"/>
              </w:rPr>
            </w:pPr>
            <w:r>
              <w:rPr>
                <w:noProof/>
              </w:rPr>
              <w:drawing>
                <wp:inline distT="0" distB="0" distL="0" distR="0" wp14:anchorId="0821FA07" wp14:editId="61495C7C">
                  <wp:extent cx="5958840" cy="3046095"/>
                  <wp:effectExtent l="0" t="0" r="0" b="1905"/>
                  <wp:docPr id="16" name="Diagram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356038" w:rsidRPr="00A95AE3" w14:paraId="61311CE8" w14:textId="77777777" w:rsidTr="00FB1960">
        <w:trPr>
          <w:gridAfter w:val="1"/>
          <w:wAfter w:w="26" w:type="dxa"/>
          <w:cantSplit/>
          <w:trHeight w:val="404"/>
        </w:trPr>
        <w:tc>
          <w:tcPr>
            <w:tcW w:w="9498" w:type="dxa"/>
            <w:shd w:val="clear" w:color="auto" w:fill="auto"/>
            <w:tcMar>
              <w:top w:w="0" w:type="dxa"/>
              <w:bottom w:w="0" w:type="dxa"/>
            </w:tcMar>
          </w:tcPr>
          <w:p w14:paraId="00EB6292" w14:textId="77777777" w:rsidR="00356038" w:rsidRPr="00A95AE3" w:rsidRDefault="00356038" w:rsidP="00FB1960">
            <w:pPr>
              <w:pStyle w:val="Note"/>
              <w:spacing w:line="240" w:lineRule="auto"/>
              <w:rPr>
                <w:rFonts w:ascii="Inter" w:hAnsi="Inter"/>
              </w:rPr>
            </w:pPr>
            <w:r w:rsidRPr="00A95AE3">
              <w:rPr>
                <w:rFonts w:ascii="Inter" w:hAnsi="Inter"/>
              </w:rPr>
              <w:t>Note:</w:t>
            </w:r>
            <w:r w:rsidRPr="00A95AE3">
              <w:rPr>
                <w:rFonts w:ascii="Inter" w:hAnsi="Inter"/>
              </w:rPr>
              <w:tab/>
            </w:r>
            <w:r>
              <w:rPr>
                <w:rFonts w:ascii="Inter" w:hAnsi="Inter"/>
              </w:rPr>
              <w:t xml:space="preserve">Vægtede gennemsnit. </w:t>
            </w:r>
            <w:r w:rsidRPr="00A95AE3">
              <w:rPr>
                <w:rFonts w:ascii="Inter" w:hAnsi="Inter"/>
              </w:rPr>
              <w:t xml:space="preserve">Ikke korrigeret for opgaveændringer. </w:t>
            </w:r>
            <w:r>
              <w:rPr>
                <w:rFonts w:ascii="Inter" w:hAnsi="Inter"/>
              </w:rPr>
              <w:t>D</w:t>
            </w:r>
            <w:r>
              <w:t xml:space="preserve">er således </w:t>
            </w:r>
            <w:r w:rsidRPr="00AD20E2">
              <w:rPr>
                <w:rFonts w:ascii="Inter" w:hAnsi="Inter"/>
              </w:rPr>
              <w:t>ikke korrigeret for m</w:t>
            </w:r>
            <w:r>
              <w:rPr>
                <w:rFonts w:ascii="Inter" w:hAnsi="Inter"/>
              </w:rPr>
              <w:t xml:space="preserve">erudgifter på grund af bl.a. </w:t>
            </w:r>
            <w:r w:rsidRPr="00AD20E2">
              <w:rPr>
                <w:rFonts w:ascii="Inter" w:hAnsi="Inter"/>
              </w:rPr>
              <w:t xml:space="preserve">ukrainske flygtninge </w:t>
            </w:r>
            <w:r>
              <w:rPr>
                <w:rFonts w:ascii="Inter" w:hAnsi="Inter"/>
              </w:rPr>
              <w:t>(</w:t>
            </w:r>
            <w:r w:rsidRPr="00AD20E2">
              <w:rPr>
                <w:rFonts w:ascii="Inter" w:hAnsi="Inter"/>
              </w:rPr>
              <w:t>og andre meropgaver</w:t>
            </w:r>
            <w:r>
              <w:rPr>
                <w:rFonts w:ascii="Inter" w:hAnsi="Inter"/>
              </w:rPr>
              <w:t>)</w:t>
            </w:r>
            <w:r w:rsidRPr="00AD20E2">
              <w:rPr>
                <w:rFonts w:ascii="Inter" w:hAnsi="Inter"/>
              </w:rPr>
              <w:t>.</w:t>
            </w:r>
            <w:r>
              <w:rPr>
                <w:rFonts w:ascii="Inter" w:hAnsi="Inter"/>
              </w:rPr>
              <w:t xml:space="preserve"> </w:t>
            </w:r>
          </w:p>
        </w:tc>
      </w:tr>
      <w:tr w:rsidR="00356038" w:rsidRPr="00A95AE3" w14:paraId="02A25DAD" w14:textId="77777777" w:rsidTr="00FB1960">
        <w:trPr>
          <w:gridAfter w:val="1"/>
          <w:wAfter w:w="26" w:type="dxa"/>
          <w:cantSplit/>
          <w:trHeight w:val="213"/>
        </w:trPr>
        <w:tc>
          <w:tcPr>
            <w:tcW w:w="9498" w:type="dxa"/>
            <w:shd w:val="clear" w:color="auto" w:fill="auto"/>
            <w:tcMar>
              <w:top w:w="0" w:type="dxa"/>
              <w:bottom w:w="0" w:type="dxa"/>
            </w:tcMar>
          </w:tcPr>
          <w:p w14:paraId="342ECE05" w14:textId="77777777" w:rsidR="00356038" w:rsidRPr="00A95AE3" w:rsidRDefault="00356038" w:rsidP="00FB1960">
            <w:pPr>
              <w:pStyle w:val="Note"/>
              <w:rPr>
                <w:rFonts w:ascii="Inter" w:hAnsi="Inter"/>
              </w:rPr>
            </w:pPr>
            <w:r w:rsidRPr="00A95AE3">
              <w:rPr>
                <w:rFonts w:ascii="Inter" w:hAnsi="Inter"/>
              </w:rPr>
              <w:t>Kilde:</w:t>
            </w:r>
            <w:r w:rsidRPr="00A95AE3">
              <w:rPr>
                <w:rFonts w:ascii="Inter" w:hAnsi="Inter"/>
              </w:rPr>
              <w:tab/>
              <w:t>ECO-Nøgletal 202</w:t>
            </w:r>
            <w:r>
              <w:rPr>
                <w:rFonts w:ascii="Inter" w:hAnsi="Inter"/>
              </w:rPr>
              <w:t>4</w:t>
            </w:r>
            <w:r w:rsidRPr="00A95AE3">
              <w:rPr>
                <w:rFonts w:ascii="Inter" w:hAnsi="Inter"/>
              </w:rPr>
              <w:t>.</w:t>
            </w:r>
          </w:p>
        </w:tc>
      </w:tr>
    </w:tbl>
    <w:p w14:paraId="0EAA4B68" w14:textId="2EA2A58F" w:rsidR="00006BB5" w:rsidRDefault="00356038" w:rsidP="00FB1960">
      <w:pPr>
        <w:pStyle w:val="Overskriftfed0"/>
        <w:rPr>
          <w:rFonts w:ascii="Inter" w:hAnsi="Inter"/>
          <w:lang w:eastAsia="en-US"/>
        </w:rPr>
      </w:pPr>
      <w:r>
        <w:rPr>
          <w:rFonts w:ascii="Inter" w:hAnsi="Inter"/>
          <w:lang w:eastAsia="en-US"/>
        </w:rPr>
        <w:lastRenderedPageBreak/>
        <w:t>H</w:t>
      </w:r>
      <w:r w:rsidR="00345650">
        <w:rPr>
          <w:rFonts w:ascii="Inter" w:hAnsi="Inter"/>
          <w:lang w:eastAsia="en-US"/>
        </w:rPr>
        <w:t>istorisk store overskridelser af budgetter til børn og unge med særlige behov i 2023</w:t>
      </w:r>
    </w:p>
    <w:p w14:paraId="17A5FACD" w14:textId="5BC645CF" w:rsidR="008732D5" w:rsidRPr="00F14AB1" w:rsidRDefault="002D64C1" w:rsidP="00FB1960">
      <w:pPr>
        <w:jc w:val="left"/>
        <w:rPr>
          <w:lang w:eastAsia="en-US"/>
        </w:rPr>
      </w:pPr>
      <w:r>
        <w:rPr>
          <w:rFonts w:ascii="Inter" w:hAnsi="Inter"/>
          <w:lang w:eastAsia="en-US"/>
        </w:rPr>
        <w:t>Billedet har været det samme i de seneste fem år</w:t>
      </w:r>
      <w:r w:rsidR="00FB1960">
        <w:rPr>
          <w:rFonts w:ascii="Inter" w:hAnsi="Inter"/>
          <w:lang w:eastAsia="en-US"/>
        </w:rPr>
        <w:t xml:space="preserve"> – ne</w:t>
      </w:r>
      <w:r>
        <w:rPr>
          <w:rFonts w:ascii="Inter" w:hAnsi="Inter"/>
          <w:lang w:eastAsia="en-US"/>
        </w:rPr>
        <w:t xml:space="preserve">mlig at det igen og igen er udgifterne </w:t>
      </w:r>
      <w:r w:rsidR="00416EDA" w:rsidRPr="006A3CDF">
        <w:rPr>
          <w:rFonts w:ascii="Inter" w:hAnsi="Inter"/>
          <w:lang w:eastAsia="en-US"/>
        </w:rPr>
        <w:t>til</w:t>
      </w:r>
      <w:r w:rsidR="00F9335E" w:rsidRPr="006A3CDF">
        <w:rPr>
          <w:rFonts w:ascii="Inter" w:hAnsi="Inter"/>
          <w:lang w:eastAsia="en-US"/>
        </w:rPr>
        <w:t xml:space="preserve"> børn</w:t>
      </w:r>
      <w:r>
        <w:rPr>
          <w:rFonts w:ascii="Inter" w:hAnsi="Inter"/>
          <w:lang w:eastAsia="en-US"/>
        </w:rPr>
        <w:t>/</w:t>
      </w:r>
      <w:r w:rsidR="00FB1960">
        <w:rPr>
          <w:rFonts w:ascii="Inter" w:hAnsi="Inter"/>
          <w:lang w:eastAsia="en-US"/>
        </w:rPr>
        <w:t xml:space="preserve"> </w:t>
      </w:r>
      <w:r w:rsidR="00F9335E" w:rsidRPr="006A3CDF">
        <w:rPr>
          <w:rFonts w:ascii="Inter" w:hAnsi="Inter"/>
          <w:lang w:eastAsia="en-US"/>
        </w:rPr>
        <w:t>unge</w:t>
      </w:r>
      <w:r w:rsidR="00F14AB1" w:rsidRPr="006A3CDF">
        <w:rPr>
          <w:rFonts w:ascii="Inter" w:hAnsi="Inter"/>
          <w:lang w:eastAsia="en-US"/>
        </w:rPr>
        <w:t xml:space="preserve"> </w:t>
      </w:r>
      <w:r>
        <w:rPr>
          <w:rFonts w:ascii="Inter" w:hAnsi="Inter"/>
          <w:lang w:eastAsia="en-US"/>
        </w:rPr>
        <w:t>og voksne med særlige behov, der sprænger budgetterne</w:t>
      </w:r>
      <w:r w:rsidR="0039649E">
        <w:rPr>
          <w:rFonts w:ascii="Inter" w:hAnsi="Inter"/>
          <w:lang w:eastAsia="en-US"/>
        </w:rPr>
        <w:t>, dog</w:t>
      </w:r>
      <w:r w:rsidR="00FD5FA0">
        <w:rPr>
          <w:rFonts w:ascii="Inter" w:hAnsi="Inter"/>
          <w:lang w:eastAsia="en-US"/>
        </w:rPr>
        <w:t xml:space="preserve"> </w:t>
      </w:r>
      <w:r w:rsidR="0039649E">
        <w:rPr>
          <w:rFonts w:ascii="Inter" w:hAnsi="Inter"/>
          <w:lang w:eastAsia="en-US"/>
        </w:rPr>
        <w:t>m</w:t>
      </w:r>
      <w:r>
        <w:rPr>
          <w:rFonts w:ascii="Inter" w:hAnsi="Inter"/>
          <w:lang w:eastAsia="en-US"/>
        </w:rPr>
        <w:t xml:space="preserve">ed den </w:t>
      </w:r>
      <w:r w:rsidR="00A4608B">
        <w:rPr>
          <w:rFonts w:ascii="Inter" w:hAnsi="Inter"/>
          <w:lang w:eastAsia="en-US"/>
        </w:rPr>
        <w:t>nuance</w:t>
      </w:r>
      <w:r>
        <w:rPr>
          <w:rFonts w:ascii="Inter" w:hAnsi="Inter"/>
          <w:lang w:eastAsia="en-US"/>
        </w:rPr>
        <w:t>, at det i de seneste t</w:t>
      </w:r>
      <w:r w:rsidR="00A4608B">
        <w:rPr>
          <w:rFonts w:ascii="Inter" w:hAnsi="Inter"/>
          <w:lang w:eastAsia="en-US"/>
        </w:rPr>
        <w:t>o</w:t>
      </w:r>
      <w:r>
        <w:rPr>
          <w:rFonts w:ascii="Inter" w:hAnsi="Inter"/>
          <w:lang w:eastAsia="en-US"/>
        </w:rPr>
        <w:t xml:space="preserve"> år i særlig grad er området for </w:t>
      </w:r>
      <w:r w:rsidRPr="002463F6">
        <w:rPr>
          <w:rFonts w:ascii="Inter" w:hAnsi="Inter"/>
          <w:i/>
          <w:lang w:eastAsia="en-US"/>
        </w:rPr>
        <w:t>børn og unge</w:t>
      </w:r>
      <w:r w:rsidRPr="006A3CDF">
        <w:rPr>
          <w:rFonts w:ascii="Inter" w:hAnsi="Inter"/>
          <w:lang w:eastAsia="en-US"/>
        </w:rPr>
        <w:t xml:space="preserve"> med særlige behov</w:t>
      </w:r>
      <w:r>
        <w:rPr>
          <w:rFonts w:ascii="Inter" w:hAnsi="Inter"/>
          <w:lang w:eastAsia="en-US"/>
        </w:rPr>
        <w:t xml:space="preserve">, der er blevet ramt af </w:t>
      </w:r>
      <w:r w:rsidR="00E65B99">
        <w:rPr>
          <w:rFonts w:ascii="Inter" w:hAnsi="Inter"/>
          <w:lang w:eastAsia="en-US"/>
        </w:rPr>
        <w:t>budgetoverskridelser</w:t>
      </w:r>
      <w:r w:rsidR="00F9335E" w:rsidRPr="006A3CDF">
        <w:rPr>
          <w:rFonts w:ascii="Inter" w:hAnsi="Inter"/>
          <w:lang w:eastAsia="en-US"/>
        </w:rPr>
        <w:t xml:space="preserve">. </w:t>
      </w:r>
      <w:r w:rsidR="009E59F5">
        <w:rPr>
          <w:rFonts w:ascii="Inter" w:hAnsi="Inter"/>
          <w:lang w:eastAsia="en-US"/>
        </w:rPr>
        <w:t xml:space="preserve">I 2023 var overskridelserne </w:t>
      </w:r>
      <w:r w:rsidR="00A4608B" w:rsidRPr="006A3CDF">
        <w:rPr>
          <w:rFonts w:ascii="Inter" w:hAnsi="Inter"/>
          <w:lang w:eastAsia="en-US"/>
        </w:rPr>
        <w:t>på området</w:t>
      </w:r>
      <w:r w:rsidR="00A4608B">
        <w:rPr>
          <w:rFonts w:ascii="Inter" w:hAnsi="Inter"/>
          <w:lang w:eastAsia="en-US"/>
        </w:rPr>
        <w:t xml:space="preserve"> for børn og unge med særlige behov historisk store med budgetoverskridelser på 8,8 %</w:t>
      </w:r>
      <w:r w:rsidR="00B52406">
        <w:rPr>
          <w:rFonts w:ascii="Inter" w:hAnsi="Inter"/>
          <w:lang w:eastAsia="en-US"/>
        </w:rPr>
        <w:t>.</w:t>
      </w:r>
      <w:r w:rsidR="00AC44FD" w:rsidRPr="00AC44FD">
        <w:rPr>
          <w:rFonts w:ascii="Inter" w:hAnsi="Inter"/>
          <w:lang w:eastAsia="en-US"/>
        </w:rPr>
        <w:t xml:space="preserve"> </w:t>
      </w:r>
      <w:r w:rsidR="00A4608B">
        <w:rPr>
          <w:rFonts w:ascii="Inter" w:hAnsi="Inter"/>
          <w:lang w:eastAsia="en-US"/>
        </w:rPr>
        <w:t xml:space="preserve">Omvendt har der i de seneste fem år typisk været </w:t>
      </w:r>
      <w:r w:rsidR="00A4608B">
        <w:rPr>
          <w:rFonts w:ascii="Inter" w:hAnsi="Inter"/>
        </w:rPr>
        <w:t>’budgetunderskridelser’ på fx vejområdet og dagtilbudsområdet.</w:t>
      </w:r>
      <w:r w:rsidR="00A4608B">
        <w:rPr>
          <w:rFonts w:ascii="Inter" w:hAnsi="Inter"/>
          <w:lang w:eastAsia="en-US"/>
        </w:rPr>
        <w:t xml:space="preserve"> </w:t>
      </w:r>
      <w:r w:rsidR="00AC44FD" w:rsidRPr="006A3CDF">
        <w:rPr>
          <w:rFonts w:ascii="Inter" w:hAnsi="Inter"/>
          <w:lang w:eastAsia="en-US"/>
        </w:rPr>
        <w:t xml:space="preserve">Figur 2 viser udviklingen i den procentvise budgetoverskridelse </w:t>
      </w:r>
      <w:r w:rsidR="00AC44FD">
        <w:rPr>
          <w:rFonts w:ascii="Inter" w:hAnsi="Inter"/>
          <w:lang w:eastAsia="en-US"/>
        </w:rPr>
        <w:t>på udvalgte serviceområder</w:t>
      </w:r>
      <w:r w:rsidR="00A4608B">
        <w:rPr>
          <w:rFonts w:ascii="Inter" w:hAnsi="Inter"/>
          <w:lang w:eastAsia="en-US"/>
        </w:rPr>
        <w:t xml:space="preserve"> i årene </w:t>
      </w:r>
      <w:r w:rsidR="00AC44FD">
        <w:rPr>
          <w:rFonts w:ascii="Inter" w:hAnsi="Inter"/>
          <w:lang w:eastAsia="en-US"/>
        </w:rPr>
        <w:t>fra 2019</w:t>
      </w:r>
      <w:r w:rsidR="00FB1960">
        <w:rPr>
          <w:rFonts w:ascii="Inter" w:hAnsi="Inter"/>
          <w:lang w:eastAsia="en-US"/>
        </w:rPr>
        <w:t xml:space="preserve"> til</w:t>
      </w:r>
      <w:r w:rsidR="00AC44FD">
        <w:rPr>
          <w:rFonts w:ascii="Inter" w:hAnsi="Inter"/>
          <w:lang w:eastAsia="en-US"/>
        </w:rPr>
        <w:t xml:space="preserve"> 2023.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1"/>
      </w:tblGrid>
      <w:tr w:rsidR="008732D5" w:rsidRPr="00A95AE3" w14:paraId="5CF8B08B" w14:textId="77777777" w:rsidTr="00345650">
        <w:trPr>
          <w:cantSplit/>
          <w:trHeight w:val="317"/>
        </w:trPr>
        <w:tc>
          <w:tcPr>
            <w:tcW w:w="9631" w:type="dxa"/>
            <w:shd w:val="clear" w:color="auto" w:fill="auto"/>
            <w:tcMar>
              <w:top w:w="0" w:type="dxa"/>
              <w:bottom w:w="57" w:type="dxa"/>
            </w:tcMar>
          </w:tcPr>
          <w:p w14:paraId="5C8B0982" w14:textId="142F66D3" w:rsidR="008732D5" w:rsidRPr="00A95AE3" w:rsidRDefault="008732D5" w:rsidP="00AD20E2">
            <w:pPr>
              <w:pStyle w:val="Figuroverskrift"/>
              <w:ind w:left="851" w:hanging="851"/>
              <w:rPr>
                <w:rFonts w:ascii="Inter" w:hAnsi="Inter"/>
              </w:rPr>
            </w:pPr>
            <w:r w:rsidRPr="00A95AE3">
              <w:rPr>
                <w:rFonts w:ascii="Inter" w:hAnsi="Inter"/>
              </w:rPr>
              <w:t>Figur</w:t>
            </w:r>
            <w:bookmarkStart w:id="1" w:name="ErstatNrFelter"/>
            <w:r w:rsidRPr="00A95AE3">
              <w:rPr>
                <w:rFonts w:ascii="Inter" w:hAnsi="Inter"/>
              </w:rPr>
              <w:t xml:space="preserve"> </w:t>
            </w:r>
            <w:bookmarkEnd w:id="1"/>
            <w:r w:rsidR="00416EDA">
              <w:rPr>
                <w:rFonts w:ascii="Inter" w:hAnsi="Inter"/>
                <w:noProof/>
              </w:rPr>
              <w:t>2</w:t>
            </w:r>
            <w:r w:rsidRPr="00A95AE3">
              <w:rPr>
                <w:rFonts w:ascii="Inter" w:hAnsi="Inter"/>
                <w:noProof/>
              </w:rPr>
              <w:t>.</w:t>
            </w:r>
            <w:r w:rsidRPr="00A95AE3">
              <w:rPr>
                <w:rFonts w:ascii="Inter" w:hAnsi="Inter"/>
              </w:rPr>
              <w:tab/>
            </w:r>
            <w:r w:rsidR="006A3CDF" w:rsidRPr="006A3CDF">
              <w:rPr>
                <w:rFonts w:ascii="Inter" w:hAnsi="Inter"/>
                <w:b w:val="0"/>
              </w:rPr>
              <w:t>P</w:t>
            </w:r>
            <w:r w:rsidR="00345650">
              <w:rPr>
                <w:rStyle w:val="Ikke-fed"/>
                <w:rFonts w:ascii="Inter" w:hAnsi="Inter"/>
              </w:rPr>
              <w:t>rocentvis b</w:t>
            </w:r>
            <w:r w:rsidRPr="00A95AE3">
              <w:rPr>
                <w:rStyle w:val="Ikke-fed"/>
                <w:rFonts w:ascii="Inter" w:hAnsi="Inter"/>
              </w:rPr>
              <w:t xml:space="preserve">udgetoverskridelse </w:t>
            </w:r>
            <w:r w:rsidR="00EE3E86">
              <w:rPr>
                <w:rStyle w:val="Ikke-fed"/>
                <w:rFonts w:ascii="Inter" w:hAnsi="Inter"/>
              </w:rPr>
              <w:t>på udvalgte serviceområder, 2019-2023</w:t>
            </w:r>
          </w:p>
        </w:tc>
      </w:tr>
      <w:tr w:rsidR="008732D5" w:rsidRPr="00A95AE3" w14:paraId="60F7286B" w14:textId="77777777" w:rsidTr="00390393">
        <w:tblPrEx>
          <w:tblCellMar>
            <w:left w:w="70" w:type="dxa"/>
            <w:right w:w="70" w:type="dxa"/>
          </w:tblCellMar>
        </w:tblPrEx>
        <w:trPr>
          <w:cantSplit/>
          <w:trHeight w:val="4485"/>
        </w:trPr>
        <w:tc>
          <w:tcPr>
            <w:tcW w:w="9631" w:type="dxa"/>
            <w:shd w:val="clear" w:color="auto" w:fill="auto"/>
          </w:tcPr>
          <w:p w14:paraId="4B99A90D" w14:textId="60B2BFB9" w:rsidR="008732D5" w:rsidRPr="00A95AE3" w:rsidRDefault="00390393" w:rsidP="00BC0214">
            <w:pPr>
              <w:pStyle w:val="Figurfelt"/>
              <w:keepNext/>
              <w:rPr>
                <w:rFonts w:ascii="Inter" w:hAnsi="Inter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4721943" wp14:editId="7AA66C1F">
                  <wp:extent cx="6026785" cy="3931920"/>
                  <wp:effectExtent l="0" t="0" r="0" b="0"/>
                  <wp:docPr id="2" name="Diagra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8732D5" w:rsidRPr="00A95AE3" w14:paraId="34635047" w14:textId="77777777" w:rsidTr="00345650">
        <w:trPr>
          <w:cantSplit/>
          <w:trHeight w:val="265"/>
        </w:trPr>
        <w:tc>
          <w:tcPr>
            <w:tcW w:w="9631" w:type="dxa"/>
            <w:shd w:val="clear" w:color="auto" w:fill="auto"/>
            <w:tcMar>
              <w:top w:w="0" w:type="dxa"/>
              <w:bottom w:w="0" w:type="dxa"/>
            </w:tcMar>
          </w:tcPr>
          <w:p w14:paraId="679132B2" w14:textId="618DFABE" w:rsidR="008732D5" w:rsidRPr="00B95E5C" w:rsidRDefault="00AD20E2" w:rsidP="00B95E5C">
            <w:pPr>
              <w:pStyle w:val="Note"/>
              <w:jc w:val="left"/>
              <w:rPr>
                <w:rFonts w:ascii="Inter" w:hAnsi="Inter"/>
              </w:rPr>
            </w:pPr>
            <w:r>
              <w:rPr>
                <w:rFonts w:ascii="Inter" w:hAnsi="Inter"/>
              </w:rPr>
              <w:t>Note:</w:t>
            </w:r>
            <w:r>
              <w:rPr>
                <w:rFonts w:ascii="Inter" w:hAnsi="Inter"/>
              </w:rPr>
              <w:tab/>
            </w:r>
            <w:r w:rsidR="00FE1A1A" w:rsidRPr="00FE1A1A">
              <w:rPr>
                <w:rFonts w:ascii="Inter" w:hAnsi="Inter"/>
              </w:rPr>
              <w:t>Vægtede gennemsnit. Ikke korrigeret for opgaveændringer. I 2020-202</w:t>
            </w:r>
            <w:r w:rsidR="00FE1A1A">
              <w:rPr>
                <w:rFonts w:ascii="Inter" w:hAnsi="Inter"/>
              </w:rPr>
              <w:t>3</w:t>
            </w:r>
            <w:r w:rsidR="00FE1A1A" w:rsidRPr="00FE1A1A">
              <w:rPr>
                <w:rFonts w:ascii="Inter" w:hAnsi="Inter"/>
              </w:rPr>
              <w:t xml:space="preserve"> er der således ikke korrigeret for merudgifter på grund af covid-19 og ukrainske flygtninge (og andre meropgaver). </w:t>
            </w:r>
          </w:p>
        </w:tc>
      </w:tr>
      <w:tr w:rsidR="008732D5" w:rsidRPr="001D73A4" w14:paraId="106E123F" w14:textId="77777777" w:rsidTr="00345650">
        <w:trPr>
          <w:cantSplit/>
          <w:trHeight w:val="202"/>
        </w:trPr>
        <w:tc>
          <w:tcPr>
            <w:tcW w:w="9631" w:type="dxa"/>
            <w:shd w:val="clear" w:color="auto" w:fill="auto"/>
            <w:tcMar>
              <w:top w:w="0" w:type="dxa"/>
              <w:bottom w:w="0" w:type="dxa"/>
            </w:tcMar>
          </w:tcPr>
          <w:p w14:paraId="76313A06" w14:textId="7F214B2B" w:rsidR="008732D5" w:rsidRPr="00B95E5C" w:rsidRDefault="00AD20E2" w:rsidP="00B95E5C">
            <w:pPr>
              <w:pStyle w:val="Note"/>
              <w:jc w:val="left"/>
              <w:rPr>
                <w:rFonts w:ascii="Inter" w:hAnsi="Inter"/>
              </w:rPr>
            </w:pPr>
            <w:r>
              <w:rPr>
                <w:rFonts w:ascii="Inter" w:hAnsi="Inter"/>
              </w:rPr>
              <w:t>Kilde:</w:t>
            </w:r>
            <w:r>
              <w:rPr>
                <w:rFonts w:ascii="Inter" w:hAnsi="Inter"/>
              </w:rPr>
              <w:tab/>
              <w:t>ECO Nøgletal 202</w:t>
            </w:r>
            <w:r w:rsidR="00900ADD">
              <w:rPr>
                <w:rFonts w:ascii="Inter" w:hAnsi="Inter"/>
              </w:rPr>
              <w:t>4</w:t>
            </w:r>
            <w:r w:rsidR="008732D5" w:rsidRPr="00A95AE3">
              <w:rPr>
                <w:rFonts w:ascii="Inter" w:hAnsi="Inter"/>
              </w:rPr>
              <w:t>.</w:t>
            </w:r>
          </w:p>
        </w:tc>
      </w:tr>
    </w:tbl>
    <w:p w14:paraId="20CEE4A1" w14:textId="1ED929F6" w:rsidR="008732D5" w:rsidRPr="00E44FEA" w:rsidRDefault="008732D5" w:rsidP="00FB1960">
      <w:pPr>
        <w:pStyle w:val="Overskriftfed0"/>
        <w:spacing w:before="360"/>
        <w:rPr>
          <w:rFonts w:ascii="Inter" w:hAnsi="Inter"/>
          <w:lang w:eastAsia="en-US"/>
        </w:rPr>
      </w:pPr>
      <w:r w:rsidRPr="00E44FEA">
        <w:rPr>
          <w:rFonts w:ascii="Inter" w:hAnsi="Inter"/>
          <w:lang w:eastAsia="en-US"/>
        </w:rPr>
        <w:t>De</w:t>
      </w:r>
      <w:r w:rsidR="00A90941" w:rsidRPr="00E44FEA">
        <w:rPr>
          <w:rFonts w:ascii="Inter" w:hAnsi="Inter"/>
          <w:lang w:eastAsia="en-US"/>
        </w:rPr>
        <w:t>t er de</w:t>
      </w:r>
      <w:r w:rsidRPr="00E44FEA">
        <w:rPr>
          <w:rFonts w:ascii="Inter" w:hAnsi="Inter"/>
          <w:lang w:eastAsia="en-US"/>
        </w:rPr>
        <w:t xml:space="preserve"> samme kommuner</w:t>
      </w:r>
      <w:r w:rsidR="00A90941" w:rsidRPr="00E44FEA">
        <w:rPr>
          <w:rFonts w:ascii="Inter" w:hAnsi="Inter"/>
          <w:lang w:eastAsia="en-US"/>
        </w:rPr>
        <w:t xml:space="preserve">, der </w:t>
      </w:r>
      <w:r w:rsidRPr="00E44FEA">
        <w:rPr>
          <w:rFonts w:ascii="Inter" w:hAnsi="Inter"/>
          <w:lang w:eastAsia="en-US"/>
        </w:rPr>
        <w:t xml:space="preserve">har svært ved at holde budgettet </w:t>
      </w:r>
      <w:r w:rsidR="00E65B99">
        <w:rPr>
          <w:rFonts w:ascii="Inter" w:hAnsi="Inter"/>
          <w:lang w:eastAsia="en-US"/>
        </w:rPr>
        <w:t>til</w:t>
      </w:r>
      <w:r w:rsidR="00F93845" w:rsidRPr="00E44FEA">
        <w:rPr>
          <w:rFonts w:ascii="Inter" w:hAnsi="Inter"/>
          <w:lang w:eastAsia="en-US"/>
        </w:rPr>
        <w:t xml:space="preserve"> </w:t>
      </w:r>
      <w:r w:rsidR="00A4608B">
        <w:rPr>
          <w:rFonts w:ascii="Inter" w:hAnsi="Inter"/>
          <w:lang w:eastAsia="en-US"/>
        </w:rPr>
        <w:t xml:space="preserve">udsatte </w:t>
      </w:r>
      <w:r w:rsidR="00006BB5">
        <w:rPr>
          <w:rFonts w:ascii="Inter" w:hAnsi="Inter"/>
          <w:lang w:eastAsia="en-US"/>
        </w:rPr>
        <w:t>børn og unge</w:t>
      </w:r>
    </w:p>
    <w:p w14:paraId="56C3C8D6" w14:textId="20B9F8C0" w:rsidR="00EF5836" w:rsidRPr="006A3CDF" w:rsidRDefault="0039649E" w:rsidP="00FB1960">
      <w:pPr>
        <w:jc w:val="left"/>
        <w:rPr>
          <w:rFonts w:ascii="Inter" w:hAnsi="Inter"/>
          <w:lang w:eastAsia="en-US"/>
        </w:rPr>
      </w:pPr>
      <w:r>
        <w:rPr>
          <w:rFonts w:ascii="Inter" w:hAnsi="Inter"/>
          <w:lang w:eastAsia="en-US"/>
        </w:rPr>
        <w:t xml:space="preserve">Det </w:t>
      </w:r>
      <w:r w:rsidR="00EF5836" w:rsidRPr="00EF5836">
        <w:rPr>
          <w:rFonts w:ascii="Inter" w:hAnsi="Inter"/>
          <w:lang w:eastAsia="en-US"/>
        </w:rPr>
        <w:t>er mange af de samme kommuner, der</w:t>
      </w:r>
      <w:r w:rsidR="00C46023">
        <w:rPr>
          <w:rFonts w:ascii="Inter" w:hAnsi="Inter"/>
          <w:lang w:eastAsia="en-US"/>
        </w:rPr>
        <w:t xml:space="preserve"> år efter år</w:t>
      </w:r>
      <w:r w:rsidR="00EF5836" w:rsidRPr="00EF5836">
        <w:rPr>
          <w:rFonts w:ascii="Inter" w:hAnsi="Inter"/>
          <w:lang w:eastAsia="en-US"/>
        </w:rPr>
        <w:t xml:space="preserve"> kæmper med at overholde budgetterne </w:t>
      </w:r>
      <w:bookmarkStart w:id="2" w:name="_Hlk166518369"/>
      <w:r w:rsidR="00EF5836" w:rsidRPr="00EF5836">
        <w:rPr>
          <w:rFonts w:ascii="Inter" w:hAnsi="Inter"/>
          <w:lang w:eastAsia="en-US"/>
        </w:rPr>
        <w:t xml:space="preserve">til </w:t>
      </w:r>
      <w:r w:rsidR="00EF5836">
        <w:rPr>
          <w:rFonts w:ascii="Inter" w:hAnsi="Inter"/>
          <w:lang w:eastAsia="en-US"/>
        </w:rPr>
        <w:t>børn og unge</w:t>
      </w:r>
      <w:r w:rsidR="00EF5836" w:rsidRPr="00EF5836">
        <w:rPr>
          <w:rFonts w:ascii="Inter" w:hAnsi="Inter"/>
          <w:lang w:eastAsia="en-US"/>
        </w:rPr>
        <w:t xml:space="preserve"> </w:t>
      </w:r>
      <w:bookmarkEnd w:id="2"/>
      <w:r w:rsidR="00EF5836" w:rsidRPr="00EF5836">
        <w:rPr>
          <w:rFonts w:ascii="Inter" w:hAnsi="Inter"/>
          <w:lang w:eastAsia="en-US"/>
        </w:rPr>
        <w:t xml:space="preserve">med særlige behov. Overskridelse af budgetterne på området for til </w:t>
      </w:r>
      <w:r w:rsidR="00EF5836">
        <w:rPr>
          <w:rFonts w:ascii="Inter" w:hAnsi="Inter"/>
          <w:lang w:eastAsia="en-US"/>
        </w:rPr>
        <w:t>børn og unge</w:t>
      </w:r>
      <w:r w:rsidR="00EF5836" w:rsidRPr="00EF5836">
        <w:rPr>
          <w:rFonts w:ascii="Inter" w:hAnsi="Inter"/>
          <w:lang w:eastAsia="en-US"/>
        </w:rPr>
        <w:t xml:space="preserve"> med særlige behov i det ene år følges med andre ord ofte af overskridelser igen året efter</w:t>
      </w:r>
      <w:r w:rsidR="00FB1960">
        <w:rPr>
          <w:rFonts w:ascii="Inter" w:hAnsi="Inter"/>
          <w:lang w:eastAsia="en-US"/>
        </w:rPr>
        <w:t>, j</w:t>
      </w:r>
      <w:r w:rsidR="00C46023">
        <w:rPr>
          <w:rFonts w:ascii="Inter" w:hAnsi="Inter"/>
          <w:lang w:eastAsia="en-US"/>
        </w:rPr>
        <w:t>f. figur 3, der s</w:t>
      </w:r>
      <w:r w:rsidR="00C46023" w:rsidRPr="00C46023">
        <w:rPr>
          <w:rFonts w:ascii="Inter" w:hAnsi="Inter"/>
          <w:lang w:eastAsia="en-US"/>
        </w:rPr>
        <w:t>ammen</w:t>
      </w:r>
      <w:r w:rsidR="00C46023">
        <w:rPr>
          <w:rFonts w:ascii="Inter" w:hAnsi="Inter"/>
          <w:lang w:eastAsia="en-US"/>
        </w:rPr>
        <w:t xml:space="preserve">ligner kommunernes </w:t>
      </w:r>
      <w:r w:rsidR="00C46023" w:rsidRPr="00C46023">
        <w:rPr>
          <w:rFonts w:ascii="Inter" w:hAnsi="Inter"/>
          <w:lang w:eastAsia="en-US"/>
        </w:rPr>
        <w:t>budgetoverskridelse</w:t>
      </w:r>
      <w:r w:rsidR="00C46023">
        <w:rPr>
          <w:rFonts w:ascii="Inter" w:hAnsi="Inter"/>
          <w:lang w:eastAsia="en-US"/>
        </w:rPr>
        <w:t xml:space="preserve">r på området for </w:t>
      </w:r>
      <w:r w:rsidR="00C46023" w:rsidRPr="00C46023">
        <w:rPr>
          <w:rFonts w:ascii="Inter" w:hAnsi="Inter"/>
          <w:lang w:eastAsia="en-US"/>
        </w:rPr>
        <w:t>børn og unge med særlige behov i 2022 og 2023</w:t>
      </w:r>
      <w:r w:rsidR="00FB1960">
        <w:rPr>
          <w:rFonts w:ascii="Inter" w:hAnsi="Inter"/>
          <w:lang w:eastAsia="en-US"/>
        </w:rPr>
        <w:t>.</w:t>
      </w:r>
    </w:p>
    <w:p w14:paraId="24CD5B15" w14:textId="7C265E44" w:rsidR="002F65EF" w:rsidRPr="006A3CDF" w:rsidRDefault="008732D5" w:rsidP="00FB1960">
      <w:pPr>
        <w:jc w:val="left"/>
        <w:rPr>
          <w:rFonts w:ascii="Inter" w:hAnsi="Inter"/>
          <w:spacing w:val="-2"/>
          <w:lang w:eastAsia="en-US"/>
        </w:rPr>
      </w:pPr>
      <w:r w:rsidRPr="006A3CDF">
        <w:rPr>
          <w:rFonts w:ascii="Inter" w:hAnsi="Inter"/>
          <w:spacing w:val="-2"/>
          <w:lang w:eastAsia="en-US"/>
        </w:rPr>
        <w:t xml:space="preserve">De konsekvente budgetoverskridelser </w:t>
      </w:r>
      <w:r w:rsidR="00EF5836" w:rsidRPr="003649F3">
        <w:rPr>
          <w:rFonts w:ascii="Inter" w:hAnsi="Inter"/>
          <w:spacing w:val="-2"/>
          <w:lang w:eastAsia="en-US"/>
        </w:rPr>
        <w:t>på det specialiserede socialområde</w:t>
      </w:r>
      <w:r w:rsidR="00EF5836">
        <w:rPr>
          <w:rFonts w:ascii="Inter" w:hAnsi="Inter"/>
          <w:spacing w:val="-2"/>
          <w:lang w:eastAsia="en-US"/>
        </w:rPr>
        <w:t xml:space="preserve"> for visse kommuner</w:t>
      </w:r>
      <w:r w:rsidR="00EF5836" w:rsidRPr="006A3CDF">
        <w:rPr>
          <w:rFonts w:ascii="Inter" w:hAnsi="Inter"/>
          <w:spacing w:val="-2"/>
          <w:lang w:eastAsia="en-US"/>
        </w:rPr>
        <w:t xml:space="preserve"> </w:t>
      </w:r>
      <w:r w:rsidR="00EF5836" w:rsidRPr="003649F3">
        <w:rPr>
          <w:rFonts w:ascii="Inter" w:hAnsi="Inter"/>
          <w:spacing w:val="-2"/>
          <w:lang w:eastAsia="en-US"/>
        </w:rPr>
        <w:t xml:space="preserve">kan </w:t>
      </w:r>
      <w:r w:rsidR="00EF5836">
        <w:rPr>
          <w:rFonts w:ascii="Inter" w:hAnsi="Inter"/>
          <w:spacing w:val="-2"/>
          <w:lang w:eastAsia="en-US"/>
        </w:rPr>
        <w:t>f</w:t>
      </w:r>
      <w:r w:rsidR="00FB1960">
        <w:rPr>
          <w:rFonts w:ascii="Inter" w:hAnsi="Inter"/>
          <w:spacing w:val="-2"/>
          <w:lang w:eastAsia="en-US"/>
        </w:rPr>
        <w:t>x</w:t>
      </w:r>
      <w:r w:rsidR="002463F6">
        <w:rPr>
          <w:rFonts w:ascii="Inter" w:hAnsi="Inter"/>
          <w:spacing w:val="-2"/>
          <w:lang w:eastAsia="en-US"/>
        </w:rPr>
        <w:t xml:space="preserve"> </w:t>
      </w:r>
      <w:r w:rsidRPr="006A3CDF">
        <w:rPr>
          <w:rFonts w:ascii="Inter" w:hAnsi="Inter"/>
          <w:spacing w:val="-2"/>
          <w:lang w:eastAsia="en-US"/>
        </w:rPr>
        <w:t xml:space="preserve">skyldes udfordringer med udgifts- og resultatstyringen </w:t>
      </w:r>
      <w:r w:rsidR="002F23E3" w:rsidRPr="006A3CDF">
        <w:rPr>
          <w:rFonts w:ascii="Inter" w:hAnsi="Inter"/>
          <w:spacing w:val="-2"/>
          <w:lang w:eastAsia="en-US"/>
        </w:rPr>
        <w:t xml:space="preserve">i </w:t>
      </w:r>
      <w:r w:rsidR="009704C7" w:rsidRPr="006A3CDF">
        <w:rPr>
          <w:rFonts w:ascii="Inter" w:hAnsi="Inter"/>
          <w:spacing w:val="-2"/>
          <w:lang w:eastAsia="en-US"/>
        </w:rPr>
        <w:t xml:space="preserve">kombination med </w:t>
      </w:r>
      <w:r w:rsidR="002F23E3" w:rsidRPr="006A3CDF">
        <w:rPr>
          <w:rFonts w:ascii="Inter" w:hAnsi="Inter"/>
          <w:spacing w:val="-2"/>
          <w:lang w:eastAsia="en-US"/>
        </w:rPr>
        <w:t xml:space="preserve">den stigende efterspørgsel, </w:t>
      </w:r>
      <w:r w:rsidR="002F65EF" w:rsidRPr="006A3CDF">
        <w:rPr>
          <w:rFonts w:ascii="Inter" w:hAnsi="Inter"/>
          <w:spacing w:val="-2"/>
          <w:lang w:eastAsia="en-US"/>
        </w:rPr>
        <w:t xml:space="preserve">som </w:t>
      </w:r>
      <w:r w:rsidR="002F23E3" w:rsidRPr="006A3CDF">
        <w:rPr>
          <w:rFonts w:ascii="Inter" w:hAnsi="Inter"/>
          <w:spacing w:val="-2"/>
          <w:lang w:eastAsia="en-US"/>
        </w:rPr>
        <w:t xml:space="preserve">kommunerne oplever </w:t>
      </w:r>
      <w:r w:rsidRPr="006A3CDF">
        <w:rPr>
          <w:rFonts w:ascii="Inter" w:hAnsi="Inter"/>
          <w:spacing w:val="-2"/>
          <w:lang w:eastAsia="en-US"/>
        </w:rPr>
        <w:t xml:space="preserve">på områderne. </w:t>
      </w:r>
      <w:r w:rsidR="0039649E">
        <w:rPr>
          <w:rFonts w:ascii="Inter" w:hAnsi="Inter"/>
          <w:spacing w:val="-2"/>
          <w:lang w:eastAsia="en-US"/>
        </w:rPr>
        <w:t>O</w:t>
      </w:r>
      <w:r w:rsidRPr="006A3CDF">
        <w:rPr>
          <w:rFonts w:ascii="Inter" w:hAnsi="Inter"/>
          <w:spacing w:val="-2"/>
          <w:lang w:eastAsia="en-US"/>
        </w:rPr>
        <w:t xml:space="preserve">verskridelserne </w:t>
      </w:r>
      <w:r w:rsidR="0039649E">
        <w:rPr>
          <w:rFonts w:ascii="Inter" w:hAnsi="Inter"/>
          <w:spacing w:val="-2"/>
          <w:lang w:eastAsia="en-US"/>
        </w:rPr>
        <w:t xml:space="preserve">kan </w:t>
      </w:r>
      <w:r w:rsidR="00C46023">
        <w:rPr>
          <w:rFonts w:ascii="Inter" w:hAnsi="Inter"/>
          <w:spacing w:val="-2"/>
          <w:lang w:eastAsia="en-US"/>
        </w:rPr>
        <w:t>f</w:t>
      </w:r>
      <w:r w:rsidR="00FB1960">
        <w:rPr>
          <w:rFonts w:ascii="Inter" w:hAnsi="Inter"/>
          <w:spacing w:val="-2"/>
          <w:lang w:eastAsia="en-US"/>
        </w:rPr>
        <w:t>x</w:t>
      </w:r>
      <w:r w:rsidR="00C46023">
        <w:rPr>
          <w:rFonts w:ascii="Inter" w:hAnsi="Inter"/>
          <w:spacing w:val="-2"/>
          <w:lang w:eastAsia="en-US"/>
        </w:rPr>
        <w:t xml:space="preserve"> </w:t>
      </w:r>
      <w:r w:rsidRPr="006A3CDF">
        <w:rPr>
          <w:rFonts w:ascii="Inter" w:hAnsi="Inter"/>
          <w:spacing w:val="-2"/>
          <w:lang w:eastAsia="en-US"/>
        </w:rPr>
        <w:t xml:space="preserve">være knyttet til udfordringer med budgetmodellerne, håndtering af dyre enkeltsager og målgrupper med sammensatte og komplekse behov. </w:t>
      </w:r>
    </w:p>
    <w:p w14:paraId="10FC031B" w14:textId="66FB61C5" w:rsidR="008732D5" w:rsidRDefault="008732D5" w:rsidP="00FB1960">
      <w:pPr>
        <w:spacing w:after="240"/>
        <w:jc w:val="left"/>
        <w:rPr>
          <w:rFonts w:ascii="Inter" w:hAnsi="Inter"/>
          <w:spacing w:val="-2"/>
        </w:rPr>
      </w:pPr>
      <w:r w:rsidRPr="00954BFE">
        <w:rPr>
          <w:rFonts w:ascii="Inter" w:hAnsi="Inter"/>
          <w:spacing w:val="-2"/>
        </w:rPr>
        <w:lastRenderedPageBreak/>
        <w:t xml:space="preserve">De enkelte kommuners budgetpræcision på </w:t>
      </w:r>
      <w:r w:rsidRPr="006A3CDF">
        <w:rPr>
          <w:rFonts w:ascii="Inter" w:hAnsi="Inter"/>
          <w:spacing w:val="-2"/>
        </w:rPr>
        <w:t xml:space="preserve">området </w:t>
      </w:r>
      <w:r w:rsidRPr="0067633E">
        <w:rPr>
          <w:rFonts w:ascii="Inter" w:hAnsi="Inter"/>
          <w:spacing w:val="-2"/>
        </w:rPr>
        <w:t>for</w:t>
      </w:r>
      <w:r w:rsidR="009704C7" w:rsidRPr="0067633E">
        <w:rPr>
          <w:rFonts w:ascii="Inter" w:hAnsi="Inter"/>
          <w:spacing w:val="-2"/>
        </w:rPr>
        <w:t xml:space="preserve"> </w:t>
      </w:r>
      <w:r w:rsidR="0067633E" w:rsidRPr="0067633E">
        <w:rPr>
          <w:rFonts w:ascii="Inter" w:hAnsi="Inter"/>
          <w:spacing w:val="-2"/>
        </w:rPr>
        <w:t>børn og unge</w:t>
      </w:r>
      <w:r w:rsidR="009704C7" w:rsidRPr="0067633E">
        <w:rPr>
          <w:rFonts w:ascii="Inter" w:hAnsi="Inter"/>
          <w:spacing w:val="-2"/>
        </w:rPr>
        <w:t xml:space="preserve"> med særlige behov i </w:t>
      </w:r>
      <w:r w:rsidR="002C2A18" w:rsidRPr="0067633E">
        <w:rPr>
          <w:rFonts w:ascii="Inter" w:hAnsi="Inter"/>
          <w:spacing w:val="-2"/>
        </w:rPr>
        <w:t>202</w:t>
      </w:r>
      <w:r w:rsidR="0067633E" w:rsidRPr="0067633E">
        <w:rPr>
          <w:rFonts w:ascii="Inter" w:hAnsi="Inter"/>
          <w:spacing w:val="-2"/>
        </w:rPr>
        <w:t>3</w:t>
      </w:r>
      <w:r w:rsidR="002C2A18" w:rsidRPr="0067633E">
        <w:rPr>
          <w:rFonts w:ascii="Inter" w:hAnsi="Inter"/>
          <w:spacing w:val="-2"/>
        </w:rPr>
        <w:t xml:space="preserve"> </w:t>
      </w:r>
      <w:r w:rsidRPr="0067633E">
        <w:rPr>
          <w:rFonts w:ascii="Inter" w:hAnsi="Inter"/>
          <w:spacing w:val="-2"/>
        </w:rPr>
        <w:t>fremgår af landkortet i figur 4 sidst i dette notat.</w:t>
      </w:r>
    </w:p>
    <w:tbl>
      <w:tblPr>
        <w:tblW w:w="95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26"/>
      </w:tblGrid>
      <w:tr w:rsidR="008732D5" w:rsidRPr="00A95AE3" w14:paraId="0E03FB8A" w14:textId="77777777" w:rsidTr="00192763">
        <w:trPr>
          <w:cantSplit/>
          <w:trHeight w:val="600"/>
        </w:trPr>
        <w:tc>
          <w:tcPr>
            <w:tcW w:w="9524" w:type="dxa"/>
            <w:gridSpan w:val="2"/>
            <w:shd w:val="clear" w:color="auto" w:fill="auto"/>
            <w:tcMar>
              <w:top w:w="0" w:type="dxa"/>
              <w:bottom w:w="57" w:type="dxa"/>
            </w:tcMar>
          </w:tcPr>
          <w:p w14:paraId="2F0FD8FC" w14:textId="134C4B48" w:rsidR="008732D5" w:rsidRPr="00A95AE3" w:rsidRDefault="008732D5" w:rsidP="00641E38">
            <w:pPr>
              <w:pStyle w:val="Figuroverskrift"/>
              <w:ind w:left="851" w:hanging="851"/>
              <w:rPr>
                <w:rFonts w:ascii="Inter" w:hAnsi="Inter"/>
              </w:rPr>
            </w:pPr>
            <w:r w:rsidRPr="00A95AE3">
              <w:rPr>
                <w:rFonts w:ascii="Inter" w:hAnsi="Inter"/>
              </w:rPr>
              <w:t xml:space="preserve">Figur </w:t>
            </w:r>
            <w:r w:rsidRPr="00A95AE3">
              <w:rPr>
                <w:rFonts w:ascii="Inter" w:hAnsi="Inter"/>
                <w:noProof/>
              </w:rPr>
              <w:fldChar w:fldCharType="begin"/>
            </w:r>
            <w:r w:rsidRPr="00A95AE3">
              <w:rPr>
                <w:rFonts w:ascii="Inter" w:hAnsi="Inter"/>
                <w:noProof/>
              </w:rPr>
              <w:instrText xml:space="preserve"> SEQ Figur \* ARABIC \s 1 </w:instrText>
            </w:r>
            <w:r w:rsidRPr="00A95AE3">
              <w:rPr>
                <w:rFonts w:ascii="Inter" w:hAnsi="Inter"/>
                <w:noProof/>
              </w:rPr>
              <w:fldChar w:fldCharType="separate"/>
            </w:r>
            <w:r w:rsidR="005B59DA">
              <w:rPr>
                <w:rFonts w:ascii="Inter" w:hAnsi="Inter"/>
                <w:noProof/>
              </w:rPr>
              <w:t>3</w:t>
            </w:r>
            <w:r w:rsidRPr="00A95AE3">
              <w:rPr>
                <w:rFonts w:ascii="Inter" w:hAnsi="Inter"/>
                <w:noProof/>
              </w:rPr>
              <w:fldChar w:fldCharType="end"/>
            </w:r>
            <w:r w:rsidRPr="00A95AE3">
              <w:rPr>
                <w:rFonts w:ascii="Inter" w:hAnsi="Inter"/>
                <w:noProof/>
              </w:rPr>
              <w:t>.</w:t>
            </w:r>
            <w:r w:rsidRPr="00A95AE3">
              <w:rPr>
                <w:rFonts w:ascii="Inter" w:hAnsi="Inter"/>
              </w:rPr>
              <w:tab/>
            </w:r>
            <w:r w:rsidRPr="00A95AE3">
              <w:rPr>
                <w:rFonts w:ascii="Inter" w:hAnsi="Inter"/>
                <w:b w:val="0"/>
              </w:rPr>
              <w:t xml:space="preserve">Sammenhæng mellem budgetoverskridelse for </w:t>
            </w:r>
            <w:r w:rsidR="00D7332D">
              <w:rPr>
                <w:rFonts w:ascii="Inter" w:hAnsi="Inter"/>
                <w:b w:val="0"/>
              </w:rPr>
              <w:t>børn og unge</w:t>
            </w:r>
            <w:r w:rsidRPr="00A95AE3">
              <w:rPr>
                <w:rFonts w:ascii="Inter" w:hAnsi="Inter"/>
                <w:b w:val="0"/>
              </w:rPr>
              <w:t xml:space="preserve"> med særlige behov</w:t>
            </w:r>
            <w:r w:rsidR="00315A32">
              <w:rPr>
                <w:rFonts w:ascii="Inter" w:hAnsi="Inter"/>
                <w:b w:val="0"/>
              </w:rPr>
              <w:t xml:space="preserve"> i</w:t>
            </w:r>
            <w:r w:rsidR="00641E38">
              <w:rPr>
                <w:rFonts w:ascii="Inter" w:hAnsi="Inter"/>
                <w:b w:val="0"/>
              </w:rPr>
              <w:t xml:space="preserve"> 20</w:t>
            </w:r>
            <w:r w:rsidR="00D7332D">
              <w:rPr>
                <w:rFonts w:ascii="Inter" w:hAnsi="Inter"/>
                <w:b w:val="0"/>
              </w:rPr>
              <w:t>22</w:t>
            </w:r>
            <w:r w:rsidRPr="00A95AE3">
              <w:rPr>
                <w:rFonts w:ascii="Inter" w:hAnsi="Inter"/>
                <w:b w:val="0"/>
              </w:rPr>
              <w:t xml:space="preserve"> og 202</w:t>
            </w:r>
            <w:r w:rsidR="00D7332D">
              <w:rPr>
                <w:rFonts w:ascii="Inter" w:hAnsi="Inter"/>
                <w:b w:val="0"/>
              </w:rPr>
              <w:t>3</w:t>
            </w:r>
          </w:p>
        </w:tc>
      </w:tr>
      <w:tr w:rsidR="008732D5" w:rsidRPr="00A95AE3" w14:paraId="21CBBA54" w14:textId="77777777" w:rsidTr="00D7332D">
        <w:tblPrEx>
          <w:tblCellMar>
            <w:left w:w="70" w:type="dxa"/>
            <w:right w:w="70" w:type="dxa"/>
          </w:tblCellMar>
        </w:tblPrEx>
        <w:trPr>
          <w:gridAfter w:val="1"/>
          <w:wAfter w:w="26" w:type="dxa"/>
          <w:cantSplit/>
          <w:trHeight w:val="5580"/>
        </w:trPr>
        <w:tc>
          <w:tcPr>
            <w:tcW w:w="9498" w:type="dxa"/>
            <w:shd w:val="clear" w:color="auto" w:fill="auto"/>
          </w:tcPr>
          <w:p w14:paraId="49D59541" w14:textId="5CEB1725" w:rsidR="008732D5" w:rsidRPr="00A95AE3" w:rsidRDefault="00D7332D" w:rsidP="00BC0214">
            <w:pPr>
              <w:pStyle w:val="Figurfelt"/>
              <w:keepNext/>
              <w:rPr>
                <w:rFonts w:ascii="Inter" w:hAnsi="Inter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41E3CC92" wp14:editId="19DE0571">
                  <wp:extent cx="5942330" cy="3554730"/>
                  <wp:effectExtent l="0" t="0" r="1270" b="7620"/>
                  <wp:docPr id="8" name="Diagram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8732D5" w:rsidRPr="00A95AE3" w14:paraId="6D625B37" w14:textId="77777777" w:rsidTr="00192763">
        <w:trPr>
          <w:gridAfter w:val="1"/>
          <w:wAfter w:w="26" w:type="dxa"/>
          <w:cantSplit/>
          <w:trHeight w:val="420"/>
        </w:trPr>
        <w:tc>
          <w:tcPr>
            <w:tcW w:w="9498" w:type="dxa"/>
            <w:shd w:val="clear" w:color="auto" w:fill="auto"/>
            <w:tcMar>
              <w:top w:w="0" w:type="dxa"/>
              <w:bottom w:w="0" w:type="dxa"/>
            </w:tcMar>
          </w:tcPr>
          <w:p w14:paraId="1FB7E895" w14:textId="51AC43E8" w:rsidR="008732D5" w:rsidRPr="00A95AE3" w:rsidRDefault="008732D5" w:rsidP="00C51ECE">
            <w:pPr>
              <w:pStyle w:val="Note"/>
              <w:rPr>
                <w:rFonts w:ascii="Inter" w:hAnsi="Inter"/>
              </w:rPr>
            </w:pPr>
            <w:r w:rsidRPr="00A95AE3">
              <w:rPr>
                <w:rFonts w:ascii="Inter" w:hAnsi="Inter"/>
              </w:rPr>
              <w:t>Note:</w:t>
            </w:r>
            <w:r w:rsidRPr="00A95AE3">
              <w:rPr>
                <w:rFonts w:ascii="Inter" w:hAnsi="Inter"/>
              </w:rPr>
              <w:tab/>
              <w:t xml:space="preserve">Ikke korrigeret for opgaveændringer. </w:t>
            </w:r>
            <w:r w:rsidR="00C51ECE">
              <w:rPr>
                <w:rFonts w:ascii="Inter" w:hAnsi="Inter"/>
              </w:rPr>
              <w:t>D</w:t>
            </w:r>
            <w:r w:rsidR="00C51ECE" w:rsidRPr="00C51ECE">
              <w:rPr>
                <w:rFonts w:ascii="Inter" w:hAnsi="Inter"/>
              </w:rPr>
              <w:t>er</w:t>
            </w:r>
            <w:r w:rsidR="00C51ECE">
              <w:rPr>
                <w:rFonts w:ascii="Inter" w:hAnsi="Inter"/>
              </w:rPr>
              <w:t xml:space="preserve"> er</w:t>
            </w:r>
            <w:r w:rsidR="00C51ECE" w:rsidRPr="00C51ECE">
              <w:rPr>
                <w:rFonts w:ascii="Inter" w:hAnsi="Inter"/>
              </w:rPr>
              <w:t xml:space="preserve"> således ikke korrigeret for merudgifter på grund af covid-19 </w:t>
            </w:r>
            <w:r w:rsidR="00C51ECE">
              <w:rPr>
                <w:rFonts w:ascii="Inter" w:hAnsi="Inter"/>
              </w:rPr>
              <w:t xml:space="preserve">(i 2021 og 2022) </w:t>
            </w:r>
            <w:r w:rsidR="00C51ECE" w:rsidRPr="00C51ECE">
              <w:rPr>
                <w:rFonts w:ascii="Inter" w:hAnsi="Inter"/>
              </w:rPr>
              <w:t>og ukrainske flygtninge (</w:t>
            </w:r>
            <w:r w:rsidR="00C51ECE">
              <w:rPr>
                <w:rFonts w:ascii="Inter" w:hAnsi="Inter"/>
              </w:rPr>
              <w:t xml:space="preserve">i 2022) – eller </w:t>
            </w:r>
            <w:r w:rsidR="00C51ECE" w:rsidRPr="00C51ECE">
              <w:rPr>
                <w:rFonts w:ascii="Inter" w:hAnsi="Inter"/>
              </w:rPr>
              <w:t>andre meropgaver.</w:t>
            </w:r>
            <w:r w:rsidR="00C51ECE">
              <w:rPr>
                <w:rFonts w:ascii="Inter" w:hAnsi="Inter"/>
              </w:rPr>
              <w:t xml:space="preserve"> </w:t>
            </w:r>
            <w:r w:rsidRPr="00A95AE3">
              <w:rPr>
                <w:rFonts w:ascii="Inter" w:hAnsi="Inter"/>
              </w:rPr>
              <w:t>Der er i figuren set bort fra en enkelt kommune med ekstraordinært store budgetoverskridelser.</w:t>
            </w:r>
          </w:p>
        </w:tc>
      </w:tr>
      <w:tr w:rsidR="008732D5" w:rsidRPr="00A95AE3" w14:paraId="7D1199B3" w14:textId="77777777" w:rsidTr="00192763">
        <w:trPr>
          <w:gridAfter w:val="1"/>
          <w:wAfter w:w="26" w:type="dxa"/>
          <w:cantSplit/>
          <w:trHeight w:val="225"/>
        </w:trPr>
        <w:tc>
          <w:tcPr>
            <w:tcW w:w="9498" w:type="dxa"/>
            <w:shd w:val="clear" w:color="auto" w:fill="auto"/>
            <w:tcMar>
              <w:top w:w="0" w:type="dxa"/>
              <w:bottom w:w="0" w:type="dxa"/>
            </w:tcMar>
          </w:tcPr>
          <w:p w14:paraId="71524AEF" w14:textId="738D95A4" w:rsidR="008732D5" w:rsidRPr="00A95AE3" w:rsidRDefault="00C51ECE" w:rsidP="00BC0214">
            <w:pPr>
              <w:pStyle w:val="Note"/>
              <w:rPr>
                <w:rFonts w:ascii="Inter" w:hAnsi="Inter"/>
              </w:rPr>
            </w:pPr>
            <w:r>
              <w:rPr>
                <w:rFonts w:ascii="Inter" w:hAnsi="Inter"/>
              </w:rPr>
              <w:t>Kilde:</w:t>
            </w:r>
            <w:r>
              <w:rPr>
                <w:rFonts w:ascii="Inter" w:hAnsi="Inter"/>
              </w:rPr>
              <w:tab/>
              <w:t>ECO Nøgletal 2023</w:t>
            </w:r>
            <w:r w:rsidR="008732D5" w:rsidRPr="00A95AE3">
              <w:rPr>
                <w:rFonts w:ascii="Inter" w:hAnsi="Inter"/>
              </w:rPr>
              <w:t>.</w:t>
            </w:r>
          </w:p>
        </w:tc>
      </w:tr>
    </w:tbl>
    <w:p w14:paraId="27425101" w14:textId="5E44DB3F" w:rsidR="008732D5" w:rsidRPr="00A95AE3" w:rsidRDefault="008732D5" w:rsidP="00531DE9">
      <w:pPr>
        <w:pStyle w:val="Overskriftfed0"/>
        <w:spacing w:before="360"/>
        <w:rPr>
          <w:rFonts w:ascii="Inter" w:hAnsi="Inter"/>
          <w:lang w:eastAsia="en-US"/>
        </w:rPr>
      </w:pPr>
      <w:r w:rsidRPr="00A95AE3">
        <w:rPr>
          <w:rFonts w:ascii="Inter" w:hAnsi="Inter"/>
          <w:lang w:eastAsia="en-US"/>
        </w:rPr>
        <w:t>Data og metode</w:t>
      </w:r>
    </w:p>
    <w:p w14:paraId="362A5946" w14:textId="77777777" w:rsidR="008732D5" w:rsidRPr="00A95AE3" w:rsidRDefault="008732D5" w:rsidP="008732D5">
      <w:pPr>
        <w:rPr>
          <w:rFonts w:ascii="Inter" w:hAnsi="Inter"/>
          <w:lang w:eastAsia="en-US"/>
        </w:rPr>
      </w:pPr>
      <w:r w:rsidRPr="00A95AE3">
        <w:rPr>
          <w:rFonts w:ascii="Inter" w:hAnsi="Inter"/>
          <w:lang w:eastAsia="en-US"/>
        </w:rPr>
        <w:t>Analysen er baseret på ECO Nøgletal og bygger på data om kommunernes udgifter, struktur og befolkningssammensætning fra Danmarks Statistikbank (</w:t>
      </w:r>
      <w:hyperlink r:id="rId11" w:history="1">
        <w:r w:rsidRPr="00A95AE3">
          <w:rPr>
            <w:rStyle w:val="Hyperlink"/>
            <w:rFonts w:ascii="Inter" w:hAnsi="Inter"/>
            <w:lang w:eastAsia="en-US"/>
          </w:rPr>
          <w:t>www.statistikbanken.dk</w:t>
        </w:r>
      </w:hyperlink>
      <w:r w:rsidRPr="00A95AE3">
        <w:rPr>
          <w:rFonts w:ascii="Inter" w:hAnsi="Inter"/>
          <w:lang w:eastAsia="en-US"/>
        </w:rPr>
        <w:t>).</w:t>
      </w:r>
    </w:p>
    <w:p w14:paraId="11AF97F7" w14:textId="77777777" w:rsidR="008732D5" w:rsidRPr="00A95AE3" w:rsidRDefault="008732D5" w:rsidP="008732D5">
      <w:pPr>
        <w:pStyle w:val="Overskriftfed0"/>
        <w:rPr>
          <w:rFonts w:ascii="Inter" w:hAnsi="Inter"/>
          <w:lang w:eastAsia="en-US"/>
        </w:rPr>
      </w:pPr>
      <w:r w:rsidRPr="00A95AE3">
        <w:rPr>
          <w:rFonts w:ascii="Inter" w:hAnsi="Inter"/>
          <w:lang w:eastAsia="en-US"/>
        </w:rPr>
        <w:t xml:space="preserve">Find flere tal fra din kommune eller se demoversionen af ECO Nøgletal på </w:t>
      </w:r>
      <w:hyperlink r:id="rId12" w:history="1">
        <w:r w:rsidRPr="004369A1">
          <w:rPr>
            <w:rStyle w:val="Hyperlink"/>
            <w:rFonts w:ascii="Inter" w:hAnsi="Inter"/>
            <w:lang w:eastAsia="en-US"/>
          </w:rPr>
          <w:t>eco.vive.dk</w:t>
        </w:r>
      </w:hyperlink>
      <w:r w:rsidRPr="00A95AE3">
        <w:rPr>
          <w:rStyle w:val="Hyperlink"/>
          <w:rFonts w:ascii="Inter" w:hAnsi="Inter"/>
          <w:lang w:eastAsia="en-US"/>
        </w:rPr>
        <w:t>.</w:t>
      </w:r>
    </w:p>
    <w:p w14:paraId="1865A7CA" w14:textId="77777777" w:rsidR="008732D5" w:rsidRPr="00A95AE3" w:rsidRDefault="008732D5" w:rsidP="008732D5">
      <w:pPr>
        <w:rPr>
          <w:rFonts w:ascii="Inter" w:hAnsi="Inter"/>
          <w:lang w:eastAsia="en-US"/>
        </w:rPr>
      </w:pPr>
      <w:r w:rsidRPr="00A95AE3">
        <w:rPr>
          <w:rFonts w:ascii="Inter" w:hAnsi="Inter"/>
          <w:lang w:eastAsia="en-US"/>
        </w:rPr>
        <w:t>Se for eksempel tabeller om kommunernes budgetoverholdelse og udgifter:</w:t>
      </w:r>
    </w:p>
    <w:p w14:paraId="076BDA64" w14:textId="1340E62B" w:rsidR="00B23370" w:rsidRDefault="008732D5" w:rsidP="00B23370">
      <w:pPr>
        <w:pStyle w:val="Listeafsnit"/>
        <w:numPr>
          <w:ilvl w:val="0"/>
          <w:numId w:val="1"/>
        </w:numPr>
        <w:spacing w:after="200"/>
        <w:rPr>
          <w:rFonts w:ascii="Inter" w:hAnsi="Inter"/>
          <w:lang w:eastAsia="en-US"/>
        </w:rPr>
      </w:pPr>
      <w:r w:rsidRPr="00A95AE3">
        <w:rPr>
          <w:rFonts w:ascii="Inter" w:hAnsi="Inter"/>
          <w:lang w:eastAsia="en-US"/>
        </w:rPr>
        <w:t xml:space="preserve">Tabel 1.32 Budgetoverskridelse på 19 udgiftsområder </w:t>
      </w:r>
      <w:r w:rsidR="00C51ECE">
        <w:rPr>
          <w:rFonts w:ascii="Inter" w:hAnsi="Inter"/>
          <w:lang w:eastAsia="en-US"/>
        </w:rPr>
        <w:t>202</w:t>
      </w:r>
      <w:r w:rsidR="00591EE1">
        <w:rPr>
          <w:rFonts w:ascii="Inter" w:hAnsi="Inter"/>
          <w:lang w:eastAsia="en-US"/>
        </w:rPr>
        <w:t>3</w:t>
      </w:r>
    </w:p>
    <w:p w14:paraId="3BCAB57F" w14:textId="13AAB7BB" w:rsidR="00B23370" w:rsidRPr="00B23370" w:rsidRDefault="00B23370" w:rsidP="00B23370">
      <w:pPr>
        <w:pStyle w:val="Listeafsnit"/>
        <w:numPr>
          <w:ilvl w:val="0"/>
          <w:numId w:val="1"/>
        </w:numPr>
        <w:spacing w:after="200"/>
        <w:rPr>
          <w:rFonts w:ascii="Inter" w:hAnsi="Inter"/>
          <w:lang w:eastAsia="en-US"/>
        </w:rPr>
      </w:pPr>
      <w:r>
        <w:rPr>
          <w:rFonts w:ascii="Inter" w:hAnsi="Inter"/>
          <w:lang w:eastAsia="en-US"/>
        </w:rPr>
        <w:t>Tabel 8.61 Udgifter til børn og unge med særlige behov – regnskab 2023</w:t>
      </w:r>
    </w:p>
    <w:p w14:paraId="5DEBB908" w14:textId="2D781FF3" w:rsidR="008732D5" w:rsidRPr="00A95AE3" w:rsidRDefault="008732D5" w:rsidP="008732D5">
      <w:pPr>
        <w:pStyle w:val="Listeafsnit"/>
        <w:numPr>
          <w:ilvl w:val="0"/>
          <w:numId w:val="1"/>
        </w:numPr>
        <w:spacing w:after="200"/>
        <w:rPr>
          <w:rFonts w:ascii="Inter" w:hAnsi="Inter"/>
          <w:lang w:eastAsia="en-US"/>
        </w:rPr>
      </w:pPr>
      <w:r w:rsidRPr="00A95AE3">
        <w:rPr>
          <w:rFonts w:ascii="Inter" w:hAnsi="Inter"/>
          <w:lang w:eastAsia="en-US"/>
        </w:rPr>
        <w:t>Graf 4.16 Udvik</w:t>
      </w:r>
      <w:r w:rsidR="00C51ECE">
        <w:rPr>
          <w:rFonts w:ascii="Inter" w:hAnsi="Inter"/>
          <w:lang w:eastAsia="en-US"/>
        </w:rPr>
        <w:t>ling i serviceudgifter 201</w:t>
      </w:r>
      <w:r w:rsidR="00591EE1">
        <w:rPr>
          <w:rFonts w:ascii="Inter" w:hAnsi="Inter"/>
          <w:lang w:eastAsia="en-US"/>
        </w:rPr>
        <w:t>8</w:t>
      </w:r>
      <w:r w:rsidR="00C51ECE">
        <w:rPr>
          <w:rFonts w:ascii="Inter" w:hAnsi="Inter"/>
          <w:lang w:eastAsia="en-US"/>
        </w:rPr>
        <w:t>-202</w:t>
      </w:r>
      <w:r w:rsidR="00591EE1">
        <w:rPr>
          <w:rFonts w:ascii="Inter" w:hAnsi="Inter"/>
          <w:lang w:eastAsia="en-US"/>
        </w:rPr>
        <w:t>4</w:t>
      </w:r>
      <w:r w:rsidRPr="00A95AE3">
        <w:rPr>
          <w:rFonts w:ascii="Inter" w:hAnsi="Inter"/>
          <w:lang w:eastAsia="en-US"/>
        </w:rPr>
        <w:t>.</w:t>
      </w:r>
    </w:p>
    <w:p w14:paraId="3726493D" w14:textId="77777777" w:rsidR="008732D5" w:rsidRPr="00A95AE3" w:rsidRDefault="008732D5" w:rsidP="00192763">
      <w:pPr>
        <w:spacing w:after="240"/>
        <w:rPr>
          <w:rFonts w:ascii="Inter" w:hAnsi="Inter"/>
          <w:lang w:eastAsia="en-US"/>
        </w:rPr>
      </w:pPr>
      <w:r w:rsidRPr="00A95AE3">
        <w:rPr>
          <w:rFonts w:ascii="Inter" w:hAnsi="Inter"/>
          <w:lang w:eastAsia="en-US"/>
        </w:rPr>
        <w:t>ECO Nøgletal leverer tabeller med nøgletal samt grafer med udviklinger på 19 forskellige udgiftsområder i den kommunale sektor. Hver kommune bliver sammenlignet med en gruppe af kommuner med tilsvarende rammebetingelser på det enkelte udgiftsområde.</w:t>
      </w:r>
    </w:p>
    <w:p w14:paraId="74447CDE" w14:textId="77777777" w:rsidR="00531DE9" w:rsidRDefault="008732D5" w:rsidP="00531DE9">
      <w:pPr>
        <w:spacing w:after="60"/>
        <w:ind w:left="851" w:hanging="851"/>
        <w:jc w:val="left"/>
        <w:rPr>
          <w:rStyle w:val="Hyperlink"/>
          <w:rFonts w:ascii="Inter" w:hAnsi="Inter"/>
          <w:bCs/>
          <w:szCs w:val="20"/>
        </w:rPr>
      </w:pPr>
      <w:r w:rsidRPr="00A95AE3">
        <w:rPr>
          <w:rFonts w:ascii="Inter" w:hAnsi="Inter"/>
          <w:b/>
          <w:bCs/>
          <w:szCs w:val="20"/>
        </w:rPr>
        <w:t xml:space="preserve">Kontakt: </w:t>
      </w:r>
      <w:r w:rsidRPr="00A95AE3">
        <w:rPr>
          <w:rFonts w:ascii="Inter" w:hAnsi="Inter"/>
          <w:bCs/>
          <w:szCs w:val="20"/>
        </w:rPr>
        <w:t xml:space="preserve">Mathias Ruge, senioranalytiker i VIVE, tlf. 33 48 08 16, </w:t>
      </w:r>
      <w:hyperlink r:id="rId13" w:history="1">
        <w:r w:rsidR="006C2274" w:rsidRPr="00E82A56">
          <w:rPr>
            <w:rStyle w:val="Hyperlink"/>
            <w:rFonts w:ascii="Inter" w:hAnsi="Inter"/>
            <w:bCs/>
            <w:szCs w:val="20"/>
          </w:rPr>
          <w:t>maru@vive.dk</w:t>
        </w:r>
      </w:hyperlink>
      <w:r w:rsidR="006C2274">
        <w:t xml:space="preserve"> </w:t>
      </w:r>
      <w:r w:rsidR="00EB7F1A">
        <w:rPr>
          <w:rFonts w:ascii="Inter" w:hAnsi="Inter"/>
          <w:bCs/>
          <w:szCs w:val="20"/>
        </w:rPr>
        <w:t xml:space="preserve">eller </w:t>
      </w:r>
      <w:r w:rsidR="006C2274">
        <w:rPr>
          <w:rFonts w:ascii="Inter" w:hAnsi="Inter"/>
          <w:bCs/>
          <w:szCs w:val="20"/>
        </w:rPr>
        <w:t>Kurt Houlberg, professor i VIVE,</w:t>
      </w:r>
      <w:r w:rsidR="006C2274" w:rsidRPr="00D26042">
        <w:rPr>
          <w:rFonts w:ascii="Inter" w:hAnsi="Inter"/>
          <w:bCs/>
          <w:szCs w:val="20"/>
        </w:rPr>
        <w:t xml:space="preserve"> tlf. 31 57 66 84, </w:t>
      </w:r>
      <w:hyperlink r:id="rId14" w:history="1">
        <w:r w:rsidR="006C2274" w:rsidRPr="00D26042">
          <w:rPr>
            <w:rStyle w:val="Hyperlink"/>
            <w:rFonts w:ascii="Inter" w:hAnsi="Inter"/>
            <w:bCs/>
            <w:szCs w:val="20"/>
          </w:rPr>
          <w:t>kuho@vive.dk</w:t>
        </w:r>
      </w:hyperlink>
    </w:p>
    <w:p w14:paraId="3BECECC7" w14:textId="7EFB9F90" w:rsidR="0022404D" w:rsidRDefault="00093D1C" w:rsidP="006C2274">
      <w:pPr>
        <w:spacing w:before="240"/>
        <w:jc w:val="left"/>
        <w:rPr>
          <w:rFonts w:ascii="Inter" w:hAnsi="Inter"/>
          <w:b/>
          <w:color w:val="000000"/>
          <w:szCs w:val="20"/>
        </w:rPr>
      </w:pPr>
      <w:r w:rsidRPr="00750ACB">
        <w:rPr>
          <w:rFonts w:ascii="Inter" w:hAnsi="Inter"/>
          <w:bCs/>
          <w:szCs w:val="20"/>
        </w:rPr>
        <w:t xml:space="preserve">I </w:t>
      </w:r>
      <w:proofErr w:type="spellStart"/>
      <w:r w:rsidRPr="00750ACB">
        <w:rPr>
          <w:rFonts w:ascii="Inter" w:hAnsi="Inter"/>
          <w:bCs/>
          <w:szCs w:val="20"/>
        </w:rPr>
        <w:t>VIVEs</w:t>
      </w:r>
      <w:proofErr w:type="spellEnd"/>
      <w:r w:rsidRPr="00750ACB">
        <w:rPr>
          <w:rFonts w:ascii="Inter" w:hAnsi="Inter"/>
          <w:bCs/>
          <w:szCs w:val="20"/>
        </w:rPr>
        <w:t xml:space="preserve"> kommunetal dykker vi med jævne mellemrum ned i udvalgte ECO Nøgletal. Du kan </w:t>
      </w:r>
      <w:hyperlink r:id="rId15" w:history="1">
        <w:r w:rsidRPr="00750ACB">
          <w:rPr>
            <w:rStyle w:val="Hyperlink"/>
            <w:rFonts w:ascii="Inter" w:hAnsi="Inter"/>
            <w:bCs/>
            <w:szCs w:val="20"/>
          </w:rPr>
          <w:t xml:space="preserve">tilmelde dig </w:t>
        </w:r>
        <w:r w:rsidRPr="00750ACB">
          <w:rPr>
            <w:rStyle w:val="Hyperlink"/>
            <w:rFonts w:ascii="Inter" w:hAnsi="Inter"/>
            <w:bCs/>
            <w:szCs w:val="20"/>
          </w:rPr>
          <w:br/>
        </w:r>
        <w:proofErr w:type="spellStart"/>
        <w:r w:rsidRPr="00750ACB">
          <w:rPr>
            <w:rStyle w:val="Hyperlink"/>
            <w:rFonts w:ascii="Inter" w:hAnsi="Inter"/>
            <w:bCs/>
            <w:szCs w:val="20"/>
          </w:rPr>
          <w:t>VIVEs</w:t>
        </w:r>
        <w:proofErr w:type="spellEnd"/>
        <w:r w:rsidRPr="00750ACB">
          <w:rPr>
            <w:rStyle w:val="Hyperlink"/>
            <w:rFonts w:ascii="Inter" w:hAnsi="Inter"/>
            <w:bCs/>
            <w:szCs w:val="20"/>
          </w:rPr>
          <w:t xml:space="preserve"> nyhedsbrev på vive.dk</w:t>
        </w:r>
      </w:hyperlink>
      <w:r w:rsidRPr="00750ACB">
        <w:rPr>
          <w:rFonts w:ascii="Inter" w:hAnsi="Inter"/>
          <w:bCs/>
          <w:szCs w:val="20"/>
        </w:rPr>
        <w:t xml:space="preserve"> og modtage kommende udgaver af </w:t>
      </w:r>
      <w:proofErr w:type="spellStart"/>
      <w:r w:rsidRPr="00750ACB">
        <w:rPr>
          <w:rFonts w:ascii="Inter" w:hAnsi="Inter"/>
          <w:bCs/>
          <w:szCs w:val="20"/>
        </w:rPr>
        <w:t>VIVEs</w:t>
      </w:r>
      <w:proofErr w:type="spellEnd"/>
      <w:r w:rsidRPr="00750ACB">
        <w:rPr>
          <w:rFonts w:ascii="Inter" w:hAnsi="Inter"/>
          <w:bCs/>
          <w:szCs w:val="20"/>
        </w:rPr>
        <w:t xml:space="preserve"> kommunetal.</w:t>
      </w:r>
      <w:r w:rsidRPr="00750ACB">
        <w:rPr>
          <w:rFonts w:ascii="Inter" w:hAnsi="Inter"/>
          <w:szCs w:val="20"/>
          <w:lang w:eastAsia="en-US"/>
        </w:rPr>
        <w:t xml:space="preserve"> </w:t>
      </w:r>
      <w:r w:rsidR="0022404D">
        <w:rPr>
          <w:rFonts w:ascii="Inter" w:hAnsi="Inter"/>
          <w:szCs w:val="20"/>
        </w:rPr>
        <w:br w:type="page"/>
      </w:r>
    </w:p>
    <w:p w14:paraId="29F108C2" w14:textId="00FCE235" w:rsidR="00093D1C" w:rsidRPr="005742F7" w:rsidRDefault="00093D1C" w:rsidP="003D02E5">
      <w:pPr>
        <w:pStyle w:val="Figuroverskrift"/>
        <w:keepNext w:val="0"/>
        <w:ind w:left="851" w:hanging="851"/>
        <w:rPr>
          <w:rFonts w:ascii="Inter" w:hAnsi="Inter"/>
          <w:b w:val="0"/>
          <w:szCs w:val="20"/>
        </w:rPr>
      </w:pPr>
      <w:r w:rsidRPr="005742F7">
        <w:rPr>
          <w:rFonts w:ascii="Inter" w:hAnsi="Inter"/>
          <w:szCs w:val="20"/>
        </w:rPr>
        <w:lastRenderedPageBreak/>
        <w:t xml:space="preserve">Figur </w:t>
      </w:r>
      <w:r w:rsidRPr="005742F7">
        <w:rPr>
          <w:rFonts w:ascii="Inter" w:hAnsi="Inter"/>
          <w:noProof/>
          <w:szCs w:val="20"/>
        </w:rPr>
        <w:t>4</w:t>
      </w:r>
      <w:r w:rsidRPr="005742F7">
        <w:rPr>
          <w:rFonts w:ascii="Inter" w:hAnsi="Inter"/>
          <w:szCs w:val="20"/>
        </w:rPr>
        <w:tab/>
      </w:r>
      <w:r w:rsidR="008732D5" w:rsidRPr="00A90B81">
        <w:rPr>
          <w:b w:val="0"/>
        </w:rPr>
        <w:t xml:space="preserve">Budgetoverskridelse for </w:t>
      </w:r>
      <w:r w:rsidR="00EF5836" w:rsidRPr="00EF5836">
        <w:rPr>
          <w:b w:val="0"/>
        </w:rPr>
        <w:t xml:space="preserve">børn og unge </w:t>
      </w:r>
      <w:r w:rsidR="008732D5" w:rsidRPr="00A90B81">
        <w:rPr>
          <w:b w:val="0"/>
        </w:rPr>
        <w:t>med særlige behov</w:t>
      </w:r>
      <w:r w:rsidR="008732D5">
        <w:rPr>
          <w:b w:val="0"/>
        </w:rPr>
        <w:t>,</w:t>
      </w:r>
      <w:r w:rsidR="008732D5" w:rsidRPr="00A90B81">
        <w:rPr>
          <w:b w:val="0"/>
        </w:rPr>
        <w:t xml:space="preserve"> kr</w:t>
      </w:r>
      <w:r w:rsidR="008732D5">
        <w:rPr>
          <w:b w:val="0"/>
        </w:rPr>
        <w:t>oner</w:t>
      </w:r>
      <w:r w:rsidR="008732D5" w:rsidRPr="00A90B81">
        <w:rPr>
          <w:b w:val="0"/>
        </w:rPr>
        <w:t xml:space="preserve"> pr. </w:t>
      </w:r>
      <w:r w:rsidR="0067633E">
        <w:rPr>
          <w:b w:val="0"/>
        </w:rPr>
        <w:t>0</w:t>
      </w:r>
      <w:r w:rsidR="008732D5" w:rsidRPr="00A90B81">
        <w:rPr>
          <w:b w:val="0"/>
        </w:rPr>
        <w:t>-</w:t>
      </w:r>
      <w:r w:rsidR="0067633E">
        <w:rPr>
          <w:b w:val="0"/>
        </w:rPr>
        <w:t>22</w:t>
      </w:r>
      <w:r w:rsidR="008732D5" w:rsidRPr="00A90B81">
        <w:rPr>
          <w:b w:val="0"/>
        </w:rPr>
        <w:t xml:space="preserve"> åri</w:t>
      </w:r>
      <w:r w:rsidR="008732D5">
        <w:rPr>
          <w:b w:val="0"/>
        </w:rPr>
        <w:t>g,</w:t>
      </w:r>
      <w:r w:rsidR="00E82A56">
        <w:rPr>
          <w:b w:val="0"/>
        </w:rPr>
        <w:t xml:space="preserve"> 202</w:t>
      </w:r>
      <w:r w:rsidR="0067633E">
        <w:rPr>
          <w:b w:val="0"/>
        </w:rPr>
        <w:t>3</w:t>
      </w:r>
      <w:r w:rsidR="00E82A56">
        <w:rPr>
          <w:b w:val="0"/>
        </w:rPr>
        <w:t>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38"/>
      </w:tblGrid>
      <w:tr w:rsidR="00093D1C" w:rsidRPr="005742F7" w14:paraId="3E812C8A" w14:textId="77777777" w:rsidTr="0067633E">
        <w:trPr>
          <w:cantSplit/>
          <w:trHeight w:val="1459"/>
          <w:jc w:val="center"/>
        </w:trPr>
        <w:tc>
          <w:tcPr>
            <w:tcW w:w="9573" w:type="dxa"/>
            <w:shd w:val="clear" w:color="auto" w:fill="auto"/>
          </w:tcPr>
          <w:tbl>
            <w:tblPr>
              <w:tblW w:w="9481" w:type="dxa"/>
              <w:tblCellSpacing w:w="15" w:type="dxa"/>
              <w:tblInd w:w="1" w:type="dxa"/>
              <w:tblLook w:val="04A0" w:firstRow="1" w:lastRow="0" w:firstColumn="1" w:lastColumn="0" w:noHBand="0" w:noVBand="1"/>
            </w:tblPr>
            <w:tblGrid>
              <w:gridCol w:w="1580"/>
              <w:gridCol w:w="1580"/>
              <w:gridCol w:w="1580"/>
              <w:gridCol w:w="1580"/>
              <w:gridCol w:w="1580"/>
              <w:gridCol w:w="1581"/>
            </w:tblGrid>
            <w:tr w:rsidR="00093D1C" w:rsidRPr="005742F7" w14:paraId="00B79813" w14:textId="77777777" w:rsidTr="002463F6">
              <w:trPr>
                <w:trHeight w:val="378"/>
                <w:tblCellSpacing w:w="15" w:type="dxa"/>
              </w:trPr>
              <w:tc>
                <w:tcPr>
                  <w:tcW w:w="15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E9B72C" w14:textId="77777777" w:rsidR="00093D1C" w:rsidRPr="00531DE9" w:rsidRDefault="00093D1C" w:rsidP="000F3F6A">
                  <w:pPr>
                    <w:spacing w:after="0"/>
                    <w:jc w:val="center"/>
                    <w:rPr>
                      <w:rFonts w:ascii="Inter" w:hAnsi="Inter" w:cs="Arial"/>
                      <w:sz w:val="16"/>
                      <w:szCs w:val="16"/>
                    </w:rPr>
                  </w:pPr>
                  <w:r w:rsidRPr="00531DE9">
                    <w:rPr>
                      <w:rFonts w:ascii="Inter" w:hAnsi="Inter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283C56EC" wp14:editId="2DDF5940">
                        <wp:extent cx="790575" cy="304800"/>
                        <wp:effectExtent l="0" t="0" r="0" b="6350"/>
                        <wp:docPr id="15" name="Billed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led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24CB69" w14:textId="77777777" w:rsidR="00093D1C" w:rsidRPr="00531DE9" w:rsidRDefault="00093D1C" w:rsidP="000F3F6A">
                  <w:pPr>
                    <w:spacing w:after="0"/>
                    <w:jc w:val="center"/>
                    <w:rPr>
                      <w:rFonts w:ascii="Inter" w:hAnsi="Inter" w:cs="Arial"/>
                      <w:sz w:val="16"/>
                      <w:szCs w:val="16"/>
                    </w:rPr>
                  </w:pPr>
                  <w:r w:rsidRPr="00531DE9">
                    <w:rPr>
                      <w:rFonts w:ascii="Inter" w:hAnsi="Inter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6C6FCAF5" wp14:editId="17CA09A0">
                        <wp:extent cx="790575" cy="304800"/>
                        <wp:effectExtent l="0" t="0" r="0" b="6350"/>
                        <wp:docPr id="17" name="Billede 1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lede 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9C2601" w14:textId="77777777" w:rsidR="00093D1C" w:rsidRPr="00531DE9" w:rsidRDefault="00093D1C" w:rsidP="000F3F6A">
                  <w:pPr>
                    <w:spacing w:after="0"/>
                    <w:jc w:val="center"/>
                    <w:rPr>
                      <w:rFonts w:ascii="Inter" w:hAnsi="Inter" w:cs="Arial"/>
                      <w:sz w:val="16"/>
                      <w:szCs w:val="16"/>
                    </w:rPr>
                  </w:pPr>
                  <w:r w:rsidRPr="00531DE9">
                    <w:rPr>
                      <w:rFonts w:ascii="Inter" w:hAnsi="Inter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3CDFF2E7" wp14:editId="76764F19">
                        <wp:extent cx="790575" cy="304800"/>
                        <wp:effectExtent l="0" t="0" r="9525" b="0"/>
                        <wp:docPr id="18" name="Billede 1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lede 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6ACA4E" w14:textId="77777777" w:rsidR="00093D1C" w:rsidRPr="00531DE9" w:rsidRDefault="00093D1C" w:rsidP="000F3F6A">
                  <w:pPr>
                    <w:spacing w:after="0"/>
                    <w:jc w:val="center"/>
                    <w:rPr>
                      <w:rFonts w:ascii="Inter" w:hAnsi="Inter" w:cs="Arial"/>
                      <w:sz w:val="16"/>
                      <w:szCs w:val="16"/>
                    </w:rPr>
                  </w:pPr>
                  <w:r w:rsidRPr="00531DE9">
                    <w:rPr>
                      <w:rFonts w:ascii="Inter" w:hAnsi="Inter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33C5615A" wp14:editId="3634897F">
                        <wp:extent cx="790575" cy="304800"/>
                        <wp:effectExtent l="0" t="0" r="9525" b="0"/>
                        <wp:docPr id="19" name="Billede 1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lede 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DFF94A" w14:textId="77777777" w:rsidR="00093D1C" w:rsidRPr="00531DE9" w:rsidRDefault="00093D1C" w:rsidP="000F3F6A">
                  <w:pPr>
                    <w:spacing w:after="0"/>
                    <w:jc w:val="center"/>
                    <w:rPr>
                      <w:rFonts w:ascii="Inter" w:hAnsi="Inter" w:cs="Arial"/>
                      <w:sz w:val="16"/>
                      <w:szCs w:val="16"/>
                    </w:rPr>
                  </w:pPr>
                  <w:r w:rsidRPr="00531DE9">
                    <w:rPr>
                      <w:rFonts w:ascii="Inter" w:hAnsi="Inter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188B91C6" wp14:editId="3D641B18">
                        <wp:extent cx="790575" cy="304800"/>
                        <wp:effectExtent l="0" t="0" r="9525" b="0"/>
                        <wp:docPr id="13" name="Billede 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lede 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6B5564" w14:textId="77777777" w:rsidR="00093D1C" w:rsidRPr="00531DE9" w:rsidRDefault="00093D1C" w:rsidP="000F3F6A">
                  <w:pPr>
                    <w:spacing w:after="0"/>
                    <w:jc w:val="center"/>
                    <w:rPr>
                      <w:rFonts w:ascii="Inter" w:hAnsi="Inter" w:cs="Arial"/>
                      <w:sz w:val="16"/>
                      <w:szCs w:val="16"/>
                    </w:rPr>
                  </w:pPr>
                  <w:r w:rsidRPr="00531DE9">
                    <w:rPr>
                      <w:rFonts w:ascii="Inter" w:hAnsi="Inter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44702A1B" wp14:editId="1E0C251A">
                        <wp:extent cx="790575" cy="304800"/>
                        <wp:effectExtent l="0" t="0" r="9525" b="0"/>
                        <wp:docPr id="14" name="Billede 1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lede 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633E" w:rsidRPr="005742F7" w14:paraId="1FB67117" w14:textId="77777777" w:rsidTr="002463F6">
              <w:trPr>
                <w:trHeight w:val="226"/>
                <w:tblCellSpacing w:w="15" w:type="dxa"/>
              </w:trPr>
              <w:tc>
                <w:tcPr>
                  <w:tcW w:w="15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51D3F7" w14:textId="0047676B" w:rsidR="0067633E" w:rsidRPr="00531DE9" w:rsidRDefault="0067633E" w:rsidP="0067633E">
                  <w:pPr>
                    <w:spacing w:after="0"/>
                    <w:jc w:val="center"/>
                    <w:rPr>
                      <w:rFonts w:ascii="Inter" w:hAnsi="Inter"/>
                      <w:sz w:val="16"/>
                      <w:szCs w:val="16"/>
                    </w:rPr>
                  </w:pPr>
                  <w:r w:rsidRPr="00531DE9">
                    <w:rPr>
                      <w:rFonts w:ascii="Inter" w:hAnsi="Inter"/>
                      <w:sz w:val="16"/>
                      <w:szCs w:val="16"/>
                    </w:rPr>
                    <w:t>-2.400 – -191</w:t>
                  </w:r>
                </w:p>
              </w:tc>
              <w:tc>
                <w:tcPr>
                  <w:tcW w:w="15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3D7403" w14:textId="7E70EB51" w:rsidR="0067633E" w:rsidRPr="00531DE9" w:rsidRDefault="0067633E" w:rsidP="0067633E">
                  <w:pPr>
                    <w:spacing w:after="0"/>
                    <w:jc w:val="center"/>
                    <w:rPr>
                      <w:rFonts w:ascii="Inter" w:hAnsi="Inter"/>
                      <w:sz w:val="16"/>
                      <w:szCs w:val="16"/>
                    </w:rPr>
                  </w:pPr>
                  <w:r w:rsidRPr="00531DE9">
                    <w:rPr>
                      <w:rFonts w:ascii="Inter" w:hAnsi="Inter"/>
                      <w:sz w:val="16"/>
                      <w:szCs w:val="16"/>
                    </w:rPr>
                    <w:t>-191 – 434</w:t>
                  </w:r>
                </w:p>
              </w:tc>
              <w:tc>
                <w:tcPr>
                  <w:tcW w:w="15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986ECC" w14:textId="25168977" w:rsidR="0067633E" w:rsidRPr="00531DE9" w:rsidRDefault="0067633E" w:rsidP="0067633E">
                  <w:pPr>
                    <w:spacing w:after="0"/>
                    <w:jc w:val="center"/>
                    <w:rPr>
                      <w:rFonts w:ascii="Inter" w:hAnsi="Inter"/>
                      <w:sz w:val="16"/>
                      <w:szCs w:val="16"/>
                    </w:rPr>
                  </w:pPr>
                  <w:r w:rsidRPr="00531DE9">
                    <w:rPr>
                      <w:rFonts w:ascii="Inter" w:hAnsi="Inter"/>
                      <w:sz w:val="16"/>
                      <w:szCs w:val="16"/>
                    </w:rPr>
                    <w:t>434 – 1.058</w:t>
                  </w:r>
                </w:p>
              </w:tc>
              <w:tc>
                <w:tcPr>
                  <w:tcW w:w="15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DF3FDB" w14:textId="78D82CCF" w:rsidR="0067633E" w:rsidRPr="00531DE9" w:rsidRDefault="0067633E" w:rsidP="0067633E">
                  <w:pPr>
                    <w:spacing w:after="0"/>
                    <w:jc w:val="center"/>
                    <w:rPr>
                      <w:rFonts w:ascii="Inter" w:hAnsi="Inter"/>
                      <w:sz w:val="16"/>
                      <w:szCs w:val="16"/>
                    </w:rPr>
                  </w:pPr>
                  <w:r w:rsidRPr="00531DE9">
                    <w:rPr>
                      <w:rFonts w:ascii="Inter" w:hAnsi="Inter"/>
                      <w:sz w:val="16"/>
                      <w:szCs w:val="16"/>
                    </w:rPr>
                    <w:t>1.058 – 1.682</w:t>
                  </w:r>
                </w:p>
              </w:tc>
              <w:tc>
                <w:tcPr>
                  <w:tcW w:w="15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A193CB" w14:textId="4D8DC684" w:rsidR="0067633E" w:rsidRPr="00531DE9" w:rsidRDefault="0067633E" w:rsidP="0067633E">
                  <w:pPr>
                    <w:spacing w:after="0"/>
                    <w:jc w:val="center"/>
                    <w:rPr>
                      <w:rFonts w:ascii="Inter" w:hAnsi="Inter"/>
                      <w:sz w:val="16"/>
                      <w:szCs w:val="16"/>
                    </w:rPr>
                  </w:pPr>
                  <w:r w:rsidRPr="00531DE9">
                    <w:rPr>
                      <w:rFonts w:ascii="Inter" w:hAnsi="Inter"/>
                      <w:sz w:val="16"/>
                      <w:szCs w:val="16"/>
                    </w:rPr>
                    <w:t>1.682 – 2.307</w:t>
                  </w:r>
                </w:p>
              </w:tc>
              <w:tc>
                <w:tcPr>
                  <w:tcW w:w="15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AFA76A" w14:textId="159B653E" w:rsidR="0067633E" w:rsidRPr="00531DE9" w:rsidRDefault="0067633E" w:rsidP="0067633E">
                  <w:pPr>
                    <w:spacing w:after="0"/>
                    <w:jc w:val="center"/>
                    <w:rPr>
                      <w:rFonts w:ascii="Inter" w:hAnsi="Inter"/>
                      <w:sz w:val="16"/>
                      <w:szCs w:val="16"/>
                    </w:rPr>
                  </w:pPr>
                  <w:r w:rsidRPr="00531DE9">
                    <w:rPr>
                      <w:rFonts w:ascii="Inter" w:hAnsi="Inter"/>
                      <w:sz w:val="16"/>
                      <w:szCs w:val="16"/>
                    </w:rPr>
                    <w:t>2.307 – 5.700</w:t>
                  </w:r>
                </w:p>
              </w:tc>
            </w:tr>
          </w:tbl>
          <w:p w14:paraId="351D4231" w14:textId="5B8E5D0D" w:rsidR="00093D1C" w:rsidRPr="005742F7" w:rsidRDefault="0067633E" w:rsidP="000F3F6A">
            <w:pPr>
              <w:pStyle w:val="NormalWeb"/>
              <w:rPr>
                <w:rFonts w:ascii="Inter" w:hAnsi="Inter" w:cs="Arial"/>
                <w:sz w:val="16"/>
                <w:szCs w:val="16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7F94A2E5" wp14:editId="7B8595C4">
                  <wp:extent cx="5986081" cy="6381750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5872" cy="639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20DB54" w14:textId="23F466E8" w:rsidR="00C075A7" w:rsidRPr="00192763" w:rsidRDefault="00031CE2" w:rsidP="00192763">
      <w:pPr>
        <w:pStyle w:val="Note"/>
        <w:spacing w:after="240"/>
        <w:rPr>
          <w:rFonts w:ascii="Inter" w:hAnsi="Inter"/>
        </w:rPr>
      </w:pPr>
      <w:r w:rsidRPr="00192763">
        <w:rPr>
          <w:rFonts w:ascii="Inter" w:hAnsi="Inter"/>
          <w:sz w:val="14"/>
        </w:rPr>
        <w:t>Kilde:</w:t>
      </w:r>
      <w:r w:rsidRPr="00192763">
        <w:rPr>
          <w:rFonts w:ascii="Inter" w:hAnsi="Inter"/>
          <w:sz w:val="14"/>
        </w:rPr>
        <w:tab/>
      </w:r>
      <w:r w:rsidR="008732D5" w:rsidRPr="00192763">
        <w:t xml:space="preserve">ECO Nøgletal, </w:t>
      </w:r>
      <w:hyperlink r:id="rId23" w:history="1">
        <w:r w:rsidR="008732D5" w:rsidRPr="00192763">
          <w:rPr>
            <w:rStyle w:val="Hyperlink"/>
            <w:color w:val="auto"/>
          </w:rPr>
          <w:t>http://eco.vive.dk/landkort.asp</w:t>
        </w:r>
      </w:hyperlink>
      <w:r w:rsidR="008732D5" w:rsidRPr="00192763">
        <w:rPr>
          <w:rStyle w:val="Hyperlink"/>
          <w:color w:val="auto"/>
        </w:rPr>
        <w:t>.</w:t>
      </w:r>
    </w:p>
    <w:tbl>
      <w:tblPr>
        <w:tblStyle w:val="Tabel-Gitter"/>
        <w:tblW w:w="0" w:type="auto"/>
        <w:tblBorders>
          <w:top w:val="single" w:sz="4" w:space="0" w:color="BF1D30" w:themeColor="accen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C075A7" w:rsidRPr="000220CC" w14:paraId="1664E3E4" w14:textId="77777777" w:rsidTr="00192763">
        <w:tc>
          <w:tcPr>
            <w:tcW w:w="9581" w:type="dxa"/>
          </w:tcPr>
          <w:p w14:paraId="488AF850" w14:textId="77777777" w:rsidR="00C075A7" w:rsidRPr="000220CC" w:rsidRDefault="00C075A7" w:rsidP="00192763">
            <w:pPr>
              <w:spacing w:before="240" w:line="240" w:lineRule="auto"/>
              <w:rPr>
                <w:rFonts w:ascii="Inter" w:hAnsi="Inter"/>
              </w:rPr>
            </w:pPr>
          </w:p>
        </w:tc>
      </w:tr>
    </w:tbl>
    <w:p w14:paraId="3787589A" w14:textId="77777777" w:rsidR="00C075A7" w:rsidRPr="000220CC" w:rsidRDefault="00C075A7" w:rsidP="00C075A7">
      <w:pPr>
        <w:tabs>
          <w:tab w:val="left" w:pos="3969"/>
        </w:tabs>
        <w:spacing w:before="40" w:after="40" w:line="240" w:lineRule="auto"/>
        <w:rPr>
          <w:rFonts w:ascii="Inter" w:hAnsi="Inter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1130AF2" wp14:editId="0297DCAE">
            <wp:simplePos x="0" y="0"/>
            <wp:positionH relativeFrom="column">
              <wp:posOffset>-5715</wp:posOffset>
            </wp:positionH>
            <wp:positionV relativeFrom="paragraph">
              <wp:posOffset>31115</wp:posOffset>
            </wp:positionV>
            <wp:extent cx="2160000" cy="396000"/>
            <wp:effectExtent l="0" t="0" r="0" b="4445"/>
            <wp:wrapNone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VE_TAGLINE_RED_LONG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0CC">
        <w:rPr>
          <w:rFonts w:ascii="Inter" w:hAnsi="Inter"/>
          <w:sz w:val="16"/>
          <w:szCs w:val="16"/>
        </w:rPr>
        <w:tab/>
        <w:t xml:space="preserve">Herluf Trolles Gade 11 </w:t>
      </w:r>
      <w:r w:rsidRPr="000220CC">
        <w:rPr>
          <w:rFonts w:ascii="Inter" w:hAnsi="Inter"/>
          <w:sz w:val="16"/>
          <w:szCs w:val="16"/>
        </w:rPr>
        <w:tab/>
        <w:t>Projekt 301076</w:t>
      </w:r>
    </w:p>
    <w:p w14:paraId="5E5EDD51" w14:textId="77777777" w:rsidR="00C075A7" w:rsidRPr="000220CC" w:rsidRDefault="006106BF" w:rsidP="006106BF">
      <w:pPr>
        <w:tabs>
          <w:tab w:val="left" w:pos="3969"/>
        </w:tabs>
        <w:spacing w:before="40" w:after="40" w:line="240" w:lineRule="auto"/>
        <w:jc w:val="left"/>
        <w:rPr>
          <w:rFonts w:ascii="Inter" w:hAnsi="Inter"/>
          <w:sz w:val="16"/>
          <w:szCs w:val="16"/>
        </w:rPr>
      </w:pPr>
      <w:r>
        <w:rPr>
          <w:rFonts w:ascii="Inter" w:hAnsi="Inter"/>
          <w:sz w:val="16"/>
          <w:szCs w:val="16"/>
        </w:rPr>
        <w:tab/>
        <w:t>1052 København K</w:t>
      </w:r>
      <w:r>
        <w:rPr>
          <w:rFonts w:ascii="Inter" w:hAnsi="Inter"/>
          <w:sz w:val="16"/>
          <w:szCs w:val="16"/>
        </w:rPr>
        <w:tab/>
      </w:r>
      <w:r w:rsidRPr="006106BF">
        <w:rPr>
          <w:rFonts w:ascii="Inter" w:hAnsi="Inter"/>
          <w:sz w:val="16"/>
          <w:szCs w:val="16"/>
        </w:rPr>
        <w:t>ISSN 2794-2902</w:t>
      </w:r>
    </w:p>
    <w:p w14:paraId="785D504D" w14:textId="77777777" w:rsidR="00C075A7" w:rsidRPr="000220CC" w:rsidRDefault="00C075A7" w:rsidP="00C075A7">
      <w:pPr>
        <w:tabs>
          <w:tab w:val="left" w:pos="3969"/>
          <w:tab w:val="left" w:pos="6804"/>
        </w:tabs>
        <w:spacing w:before="40" w:after="40" w:line="240" w:lineRule="auto"/>
        <w:jc w:val="left"/>
        <w:rPr>
          <w:rFonts w:ascii="Inter" w:hAnsi="Inter"/>
          <w:sz w:val="16"/>
          <w:szCs w:val="16"/>
        </w:rPr>
      </w:pPr>
      <w:r w:rsidRPr="000220CC">
        <w:rPr>
          <w:rFonts w:ascii="Inter" w:hAnsi="Inter"/>
          <w:sz w:val="16"/>
          <w:szCs w:val="16"/>
        </w:rPr>
        <w:tab/>
        <w:t xml:space="preserve">Telefon +45 444 555 00 </w:t>
      </w:r>
    </w:p>
    <w:p w14:paraId="2EDE9F0C" w14:textId="4674E5DD" w:rsidR="003D6D3B" w:rsidRPr="00F81C79" w:rsidRDefault="00C075A7" w:rsidP="003D02E5">
      <w:pPr>
        <w:tabs>
          <w:tab w:val="left" w:pos="3969"/>
          <w:tab w:val="left" w:pos="6804"/>
        </w:tabs>
        <w:spacing w:before="40" w:after="40" w:line="240" w:lineRule="auto"/>
        <w:jc w:val="left"/>
      </w:pPr>
      <w:r w:rsidRPr="000220CC">
        <w:rPr>
          <w:rFonts w:ascii="Inter" w:hAnsi="Inter"/>
          <w:sz w:val="16"/>
          <w:szCs w:val="16"/>
        </w:rPr>
        <w:tab/>
      </w:r>
      <w:r w:rsidRPr="00A9647D">
        <w:rPr>
          <w:rFonts w:ascii="Inter" w:hAnsi="Inter"/>
          <w:sz w:val="16"/>
          <w:szCs w:val="16"/>
        </w:rPr>
        <w:t>www.viv</w:t>
      </w:r>
      <w:r w:rsidR="00942072">
        <w:rPr>
          <w:rFonts w:ascii="Inter" w:hAnsi="Inter"/>
          <w:sz w:val="16"/>
          <w:szCs w:val="16"/>
        </w:rPr>
        <w:t>e</w:t>
      </w:r>
    </w:p>
    <w:sectPr w:rsidR="003D6D3B" w:rsidRPr="00F81C79" w:rsidSect="00CA27FD">
      <w:headerReference w:type="default" r:id="rId25"/>
      <w:footerReference w:type="default" r:id="rId26"/>
      <w:type w:val="continuous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AEA12" w14:textId="77777777" w:rsidR="00C75AF0" w:rsidRDefault="00C75AF0" w:rsidP="005C09E3">
      <w:pPr>
        <w:spacing w:after="0" w:line="240" w:lineRule="auto"/>
      </w:pPr>
      <w:r>
        <w:separator/>
      </w:r>
    </w:p>
  </w:endnote>
  <w:endnote w:type="continuationSeparator" w:id="0">
    <w:p w14:paraId="78125B87" w14:textId="77777777" w:rsidR="00C75AF0" w:rsidRDefault="00C75AF0" w:rsidP="005C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8936601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F8D5DE4" w14:textId="292DF189" w:rsidR="007F0301" w:rsidRPr="00716C61" w:rsidRDefault="007F0301" w:rsidP="007F0301">
        <w:pPr>
          <w:pStyle w:val="Sidefod"/>
          <w:rPr>
            <w:sz w:val="16"/>
          </w:rPr>
        </w:pPr>
        <w:proofErr w:type="spellStart"/>
        <w:r w:rsidRPr="00716C61">
          <w:rPr>
            <w:sz w:val="16"/>
          </w:rPr>
          <w:t>VIVEs</w:t>
        </w:r>
        <w:proofErr w:type="spellEnd"/>
        <w:r w:rsidRPr="00716C61">
          <w:rPr>
            <w:sz w:val="16"/>
          </w:rPr>
          <w:t xml:space="preserve"> kommunetal </w:t>
        </w:r>
        <w:r w:rsidR="00283268">
          <w:rPr>
            <w:sz w:val="16"/>
          </w:rPr>
          <w:t>202</w:t>
        </w:r>
        <w:r w:rsidR="00900ADD">
          <w:rPr>
            <w:sz w:val="16"/>
          </w:rPr>
          <w:t>4</w:t>
        </w:r>
        <w:r w:rsidRPr="00716C61">
          <w:rPr>
            <w:sz w:val="16"/>
          </w:rPr>
          <w:t>.</w:t>
        </w:r>
        <w:r w:rsidR="00900ADD">
          <w:rPr>
            <w:sz w:val="16"/>
          </w:rPr>
          <w:t>3</w:t>
        </w:r>
        <w:r w:rsidRPr="00716C61">
          <w:rPr>
            <w:sz w:val="16"/>
          </w:rPr>
          <w:t xml:space="preserve">                     </w:t>
        </w:r>
        <w:r w:rsidRPr="00716C61">
          <w:rPr>
            <w:i/>
            <w:sz w:val="16"/>
          </w:rPr>
          <w:t xml:space="preserve">                                                                                                                                   </w:t>
        </w:r>
        <w:r w:rsidR="00620CBF" w:rsidRPr="00716C61">
          <w:rPr>
            <w:i/>
            <w:sz w:val="16"/>
          </w:rPr>
          <w:tab/>
        </w:r>
        <w:r w:rsidRPr="00716C61">
          <w:rPr>
            <w:sz w:val="16"/>
          </w:rPr>
          <w:fldChar w:fldCharType="begin"/>
        </w:r>
        <w:r w:rsidRPr="00716C61">
          <w:rPr>
            <w:sz w:val="16"/>
          </w:rPr>
          <w:instrText>PAGE   \* MERGEFORMAT</w:instrText>
        </w:r>
        <w:r w:rsidRPr="00716C61">
          <w:rPr>
            <w:sz w:val="16"/>
          </w:rPr>
          <w:fldChar w:fldCharType="separate"/>
        </w:r>
        <w:r w:rsidR="00682834">
          <w:rPr>
            <w:noProof/>
            <w:sz w:val="16"/>
          </w:rPr>
          <w:t>4</w:t>
        </w:r>
        <w:r w:rsidRPr="00716C61">
          <w:rPr>
            <w:sz w:val="16"/>
          </w:rPr>
          <w:fldChar w:fldCharType="end"/>
        </w:r>
      </w:p>
    </w:sdtContent>
  </w:sdt>
  <w:p w14:paraId="2D57D6F6" w14:textId="77777777" w:rsidR="005C09E3" w:rsidRPr="007F0301" w:rsidRDefault="005C09E3" w:rsidP="007F03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34205" w14:textId="77777777" w:rsidR="00C75AF0" w:rsidRDefault="00C75AF0" w:rsidP="005C09E3">
      <w:pPr>
        <w:spacing w:after="0" w:line="240" w:lineRule="auto"/>
      </w:pPr>
      <w:r>
        <w:separator/>
      </w:r>
    </w:p>
  </w:footnote>
  <w:footnote w:type="continuationSeparator" w:id="0">
    <w:p w14:paraId="7644F3B9" w14:textId="77777777" w:rsidR="00C75AF0" w:rsidRDefault="00C75AF0" w:rsidP="005C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1A6C0" w14:textId="77777777" w:rsidR="005C09E3" w:rsidRPr="00716C61" w:rsidRDefault="005C09E3">
    <w:pPr>
      <w:pStyle w:val="Sidehoved"/>
    </w:pPr>
    <w:r w:rsidRPr="00716C61">
      <w:rPr>
        <w:noProof/>
      </w:rPr>
      <w:drawing>
        <wp:anchor distT="0" distB="0" distL="114300" distR="114300" simplePos="0" relativeHeight="251658240" behindDoc="0" locked="0" layoutInCell="1" allowOverlap="1" wp14:anchorId="7279B115" wp14:editId="418B560F">
          <wp:simplePos x="0" y="0"/>
          <wp:positionH relativeFrom="column">
            <wp:posOffset>0</wp:posOffset>
          </wp:positionH>
          <wp:positionV relativeFrom="paragraph">
            <wp:posOffset>-36261</wp:posOffset>
          </wp:positionV>
          <wp:extent cx="2160000" cy="396000"/>
          <wp:effectExtent l="0" t="0" r="0" b="444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VE_TAGLINE_RED_LO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7335"/>
    <w:multiLevelType w:val="hybridMultilevel"/>
    <w:tmpl w:val="C2BE77BA"/>
    <w:lvl w:ilvl="0" w:tplc="51AA4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77ADE"/>
    <w:multiLevelType w:val="hybridMultilevel"/>
    <w:tmpl w:val="F2D42E7C"/>
    <w:lvl w:ilvl="0" w:tplc="EAB00CD6">
      <w:start w:val="4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8001A"/>
    <w:multiLevelType w:val="hybridMultilevel"/>
    <w:tmpl w:val="44C825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1304"/>
  <w:autoHyphenation/>
  <w:hyphenationZone w:val="425"/>
  <w:drawingGridHorizontalSpacing w:val="397"/>
  <w:drawingGridVerticalSpacing w:val="397"/>
  <w:doNotUseMarginsForDrawingGridOrigin/>
  <w:drawingGridHorizontalOrigin w:val="1134"/>
  <w:drawingGridVerticalOrigin w:val="17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BE"/>
    <w:rsid w:val="00006BB5"/>
    <w:rsid w:val="0001413B"/>
    <w:rsid w:val="000249F8"/>
    <w:rsid w:val="00024A71"/>
    <w:rsid w:val="00031CE2"/>
    <w:rsid w:val="00032AE2"/>
    <w:rsid w:val="000337C0"/>
    <w:rsid w:val="00041AAF"/>
    <w:rsid w:val="00043062"/>
    <w:rsid w:val="00050BF1"/>
    <w:rsid w:val="000519D9"/>
    <w:rsid w:val="00052689"/>
    <w:rsid w:val="00055BAE"/>
    <w:rsid w:val="00060A30"/>
    <w:rsid w:val="00062D0A"/>
    <w:rsid w:val="00065599"/>
    <w:rsid w:val="00073C7E"/>
    <w:rsid w:val="00092771"/>
    <w:rsid w:val="00093C2B"/>
    <w:rsid w:val="00093D1C"/>
    <w:rsid w:val="000B1B73"/>
    <w:rsid w:val="000B7ED3"/>
    <w:rsid w:val="000C7041"/>
    <w:rsid w:val="000D1FC8"/>
    <w:rsid w:val="000D26C9"/>
    <w:rsid w:val="000E3934"/>
    <w:rsid w:val="000F4259"/>
    <w:rsid w:val="00102B3F"/>
    <w:rsid w:val="00113F0A"/>
    <w:rsid w:val="0011458F"/>
    <w:rsid w:val="00114EAD"/>
    <w:rsid w:val="00126637"/>
    <w:rsid w:val="001353CA"/>
    <w:rsid w:val="001472BD"/>
    <w:rsid w:val="00151627"/>
    <w:rsid w:val="0015604A"/>
    <w:rsid w:val="00160C6C"/>
    <w:rsid w:val="001644D4"/>
    <w:rsid w:val="0017401C"/>
    <w:rsid w:val="00184C8D"/>
    <w:rsid w:val="00190086"/>
    <w:rsid w:val="00192763"/>
    <w:rsid w:val="001A148C"/>
    <w:rsid w:val="001E4AD9"/>
    <w:rsid w:val="001E56BB"/>
    <w:rsid w:val="001E7E8C"/>
    <w:rsid w:val="001F41C6"/>
    <w:rsid w:val="00201115"/>
    <w:rsid w:val="00207EEA"/>
    <w:rsid w:val="00210289"/>
    <w:rsid w:val="00212CB4"/>
    <w:rsid w:val="002206E2"/>
    <w:rsid w:val="00220E1F"/>
    <w:rsid w:val="00221C11"/>
    <w:rsid w:val="0022404D"/>
    <w:rsid w:val="0022640B"/>
    <w:rsid w:val="00231214"/>
    <w:rsid w:val="002340C3"/>
    <w:rsid w:val="002463F6"/>
    <w:rsid w:val="00246453"/>
    <w:rsid w:val="002563D5"/>
    <w:rsid w:val="00270E09"/>
    <w:rsid w:val="00282D8D"/>
    <w:rsid w:val="00283268"/>
    <w:rsid w:val="00292BAD"/>
    <w:rsid w:val="002A0684"/>
    <w:rsid w:val="002A48C2"/>
    <w:rsid w:val="002B23B3"/>
    <w:rsid w:val="002C06B7"/>
    <w:rsid w:val="002C2A18"/>
    <w:rsid w:val="002D631C"/>
    <w:rsid w:val="002D64C1"/>
    <w:rsid w:val="002E5A88"/>
    <w:rsid w:val="002F08C7"/>
    <w:rsid w:val="002F23E3"/>
    <w:rsid w:val="002F3198"/>
    <w:rsid w:val="002F65EF"/>
    <w:rsid w:val="002F7B16"/>
    <w:rsid w:val="00301BC0"/>
    <w:rsid w:val="00315A32"/>
    <w:rsid w:val="0031617B"/>
    <w:rsid w:val="0032064F"/>
    <w:rsid w:val="00324F52"/>
    <w:rsid w:val="003311B6"/>
    <w:rsid w:val="003350C6"/>
    <w:rsid w:val="00345650"/>
    <w:rsid w:val="00350A82"/>
    <w:rsid w:val="00356038"/>
    <w:rsid w:val="0035612A"/>
    <w:rsid w:val="00357368"/>
    <w:rsid w:val="00363340"/>
    <w:rsid w:val="003649F3"/>
    <w:rsid w:val="00365050"/>
    <w:rsid w:val="00372E9A"/>
    <w:rsid w:val="00381642"/>
    <w:rsid w:val="00384CC4"/>
    <w:rsid w:val="00387B06"/>
    <w:rsid w:val="00390393"/>
    <w:rsid w:val="0039649E"/>
    <w:rsid w:val="003B2F8C"/>
    <w:rsid w:val="003D02E5"/>
    <w:rsid w:val="003D6681"/>
    <w:rsid w:val="003D6D3B"/>
    <w:rsid w:val="003E17D1"/>
    <w:rsid w:val="003E57E4"/>
    <w:rsid w:val="003E7936"/>
    <w:rsid w:val="003F24C4"/>
    <w:rsid w:val="003F2CB3"/>
    <w:rsid w:val="00401378"/>
    <w:rsid w:val="004115F5"/>
    <w:rsid w:val="00413BBD"/>
    <w:rsid w:val="00415FD9"/>
    <w:rsid w:val="00416EDA"/>
    <w:rsid w:val="00427019"/>
    <w:rsid w:val="0042779B"/>
    <w:rsid w:val="00434A3C"/>
    <w:rsid w:val="00437460"/>
    <w:rsid w:val="00454F9E"/>
    <w:rsid w:val="00455E83"/>
    <w:rsid w:val="004648CC"/>
    <w:rsid w:val="00471E11"/>
    <w:rsid w:val="0048062C"/>
    <w:rsid w:val="00486130"/>
    <w:rsid w:val="00486405"/>
    <w:rsid w:val="00486418"/>
    <w:rsid w:val="00491223"/>
    <w:rsid w:val="004A3131"/>
    <w:rsid w:val="004B3FAD"/>
    <w:rsid w:val="004B51D8"/>
    <w:rsid w:val="004C5148"/>
    <w:rsid w:val="004C5E6D"/>
    <w:rsid w:val="004D13F0"/>
    <w:rsid w:val="00501587"/>
    <w:rsid w:val="00521452"/>
    <w:rsid w:val="00531B7A"/>
    <w:rsid w:val="00531DE9"/>
    <w:rsid w:val="00535705"/>
    <w:rsid w:val="00540B31"/>
    <w:rsid w:val="0054510B"/>
    <w:rsid w:val="0055098B"/>
    <w:rsid w:val="0055287E"/>
    <w:rsid w:val="005531EC"/>
    <w:rsid w:val="0055381A"/>
    <w:rsid w:val="00562564"/>
    <w:rsid w:val="005641D1"/>
    <w:rsid w:val="0056430D"/>
    <w:rsid w:val="00565256"/>
    <w:rsid w:val="005655CD"/>
    <w:rsid w:val="005742F7"/>
    <w:rsid w:val="00591EE1"/>
    <w:rsid w:val="00594CF8"/>
    <w:rsid w:val="00596761"/>
    <w:rsid w:val="005978D1"/>
    <w:rsid w:val="005A1DA7"/>
    <w:rsid w:val="005A6C41"/>
    <w:rsid w:val="005B59DA"/>
    <w:rsid w:val="005B6C13"/>
    <w:rsid w:val="005B7355"/>
    <w:rsid w:val="005C09E3"/>
    <w:rsid w:val="005C463D"/>
    <w:rsid w:val="005D23A5"/>
    <w:rsid w:val="005D5C7D"/>
    <w:rsid w:val="005E68B9"/>
    <w:rsid w:val="005E6CCA"/>
    <w:rsid w:val="005F3444"/>
    <w:rsid w:val="005F367E"/>
    <w:rsid w:val="005F49A9"/>
    <w:rsid w:val="005F6EBC"/>
    <w:rsid w:val="006002F5"/>
    <w:rsid w:val="006043E1"/>
    <w:rsid w:val="00604442"/>
    <w:rsid w:val="006047BB"/>
    <w:rsid w:val="006106BF"/>
    <w:rsid w:val="00620CBF"/>
    <w:rsid w:val="00641E38"/>
    <w:rsid w:val="00644B6F"/>
    <w:rsid w:val="006602D4"/>
    <w:rsid w:val="00663CB2"/>
    <w:rsid w:val="00664274"/>
    <w:rsid w:val="00671FC7"/>
    <w:rsid w:val="00673BF1"/>
    <w:rsid w:val="0067633E"/>
    <w:rsid w:val="00676EBE"/>
    <w:rsid w:val="00680E58"/>
    <w:rsid w:val="00682834"/>
    <w:rsid w:val="00687A13"/>
    <w:rsid w:val="00696FB3"/>
    <w:rsid w:val="00697762"/>
    <w:rsid w:val="006A3CDF"/>
    <w:rsid w:val="006A57B7"/>
    <w:rsid w:val="006B5B50"/>
    <w:rsid w:val="006C053B"/>
    <w:rsid w:val="006C2274"/>
    <w:rsid w:val="006D3EA9"/>
    <w:rsid w:val="006F45E0"/>
    <w:rsid w:val="006F5A0F"/>
    <w:rsid w:val="006F6F07"/>
    <w:rsid w:val="0070106F"/>
    <w:rsid w:val="0071535D"/>
    <w:rsid w:val="00716C61"/>
    <w:rsid w:val="00721C07"/>
    <w:rsid w:val="0073226C"/>
    <w:rsid w:val="00737DEB"/>
    <w:rsid w:val="0074254F"/>
    <w:rsid w:val="00750ACB"/>
    <w:rsid w:val="0076183E"/>
    <w:rsid w:val="0076298E"/>
    <w:rsid w:val="00765211"/>
    <w:rsid w:val="00765D2A"/>
    <w:rsid w:val="00772388"/>
    <w:rsid w:val="007940EE"/>
    <w:rsid w:val="007B00DD"/>
    <w:rsid w:val="007B0316"/>
    <w:rsid w:val="007B6AD6"/>
    <w:rsid w:val="007C2F08"/>
    <w:rsid w:val="007C6E50"/>
    <w:rsid w:val="007D2ADF"/>
    <w:rsid w:val="007E1424"/>
    <w:rsid w:val="007E5F6E"/>
    <w:rsid w:val="007E6142"/>
    <w:rsid w:val="007E774A"/>
    <w:rsid w:val="007F0301"/>
    <w:rsid w:val="0080099E"/>
    <w:rsid w:val="00806DFB"/>
    <w:rsid w:val="0081713F"/>
    <w:rsid w:val="00817D0D"/>
    <w:rsid w:val="0083673D"/>
    <w:rsid w:val="00844B1A"/>
    <w:rsid w:val="0084631F"/>
    <w:rsid w:val="00846ECC"/>
    <w:rsid w:val="00865E47"/>
    <w:rsid w:val="00872276"/>
    <w:rsid w:val="008732D5"/>
    <w:rsid w:val="00873785"/>
    <w:rsid w:val="00874749"/>
    <w:rsid w:val="00885DF1"/>
    <w:rsid w:val="00887AE8"/>
    <w:rsid w:val="0089025B"/>
    <w:rsid w:val="008A48CD"/>
    <w:rsid w:val="008B3653"/>
    <w:rsid w:val="008C4AC5"/>
    <w:rsid w:val="008D0134"/>
    <w:rsid w:val="008D0E4A"/>
    <w:rsid w:val="008E0864"/>
    <w:rsid w:val="008E1EA8"/>
    <w:rsid w:val="008E4139"/>
    <w:rsid w:val="008E4312"/>
    <w:rsid w:val="008F0E2A"/>
    <w:rsid w:val="00900ADD"/>
    <w:rsid w:val="0090228A"/>
    <w:rsid w:val="00906097"/>
    <w:rsid w:val="009125F4"/>
    <w:rsid w:val="009210E6"/>
    <w:rsid w:val="00932F55"/>
    <w:rsid w:val="009349DC"/>
    <w:rsid w:val="00941B2B"/>
    <w:rsid w:val="00942072"/>
    <w:rsid w:val="0094707B"/>
    <w:rsid w:val="00953AD4"/>
    <w:rsid w:val="00954765"/>
    <w:rsid w:val="00954BFE"/>
    <w:rsid w:val="00961137"/>
    <w:rsid w:val="009704C7"/>
    <w:rsid w:val="00980060"/>
    <w:rsid w:val="00984A9A"/>
    <w:rsid w:val="00991606"/>
    <w:rsid w:val="009B24EC"/>
    <w:rsid w:val="009B4B0D"/>
    <w:rsid w:val="009B7CC0"/>
    <w:rsid w:val="009D193F"/>
    <w:rsid w:val="009D1D87"/>
    <w:rsid w:val="009D4275"/>
    <w:rsid w:val="009E2853"/>
    <w:rsid w:val="009E59F5"/>
    <w:rsid w:val="009F03A9"/>
    <w:rsid w:val="009F2D1B"/>
    <w:rsid w:val="00A02C77"/>
    <w:rsid w:val="00A05AFC"/>
    <w:rsid w:val="00A105A7"/>
    <w:rsid w:val="00A114D2"/>
    <w:rsid w:val="00A12EEF"/>
    <w:rsid w:val="00A139FF"/>
    <w:rsid w:val="00A16AF0"/>
    <w:rsid w:val="00A20AF1"/>
    <w:rsid w:val="00A30D70"/>
    <w:rsid w:val="00A347D1"/>
    <w:rsid w:val="00A44358"/>
    <w:rsid w:val="00A4608B"/>
    <w:rsid w:val="00A5594C"/>
    <w:rsid w:val="00A60617"/>
    <w:rsid w:val="00A70E3D"/>
    <w:rsid w:val="00A74F42"/>
    <w:rsid w:val="00A753D8"/>
    <w:rsid w:val="00A83F39"/>
    <w:rsid w:val="00A844F8"/>
    <w:rsid w:val="00A90941"/>
    <w:rsid w:val="00A926C1"/>
    <w:rsid w:val="00A9647D"/>
    <w:rsid w:val="00AA1B37"/>
    <w:rsid w:val="00AA3973"/>
    <w:rsid w:val="00AB3D5F"/>
    <w:rsid w:val="00AB7A54"/>
    <w:rsid w:val="00AC44FD"/>
    <w:rsid w:val="00AD20E2"/>
    <w:rsid w:val="00AD3890"/>
    <w:rsid w:val="00AE3540"/>
    <w:rsid w:val="00AF78E7"/>
    <w:rsid w:val="00B04C9B"/>
    <w:rsid w:val="00B073CE"/>
    <w:rsid w:val="00B103F4"/>
    <w:rsid w:val="00B13D42"/>
    <w:rsid w:val="00B23370"/>
    <w:rsid w:val="00B30FFE"/>
    <w:rsid w:val="00B33ED0"/>
    <w:rsid w:val="00B52406"/>
    <w:rsid w:val="00B56C84"/>
    <w:rsid w:val="00B571E4"/>
    <w:rsid w:val="00B6027A"/>
    <w:rsid w:val="00B61D62"/>
    <w:rsid w:val="00B648DA"/>
    <w:rsid w:val="00B7481D"/>
    <w:rsid w:val="00B76D91"/>
    <w:rsid w:val="00B82ABB"/>
    <w:rsid w:val="00B82BF4"/>
    <w:rsid w:val="00B847B1"/>
    <w:rsid w:val="00B95645"/>
    <w:rsid w:val="00B95E5C"/>
    <w:rsid w:val="00BA0912"/>
    <w:rsid w:val="00BA270E"/>
    <w:rsid w:val="00BB1FDB"/>
    <w:rsid w:val="00BB3F80"/>
    <w:rsid w:val="00BC0793"/>
    <w:rsid w:val="00BC5237"/>
    <w:rsid w:val="00BD425C"/>
    <w:rsid w:val="00BD5179"/>
    <w:rsid w:val="00BE0ECC"/>
    <w:rsid w:val="00BE2178"/>
    <w:rsid w:val="00C01DCC"/>
    <w:rsid w:val="00C0491B"/>
    <w:rsid w:val="00C075A7"/>
    <w:rsid w:val="00C105BF"/>
    <w:rsid w:val="00C31DDD"/>
    <w:rsid w:val="00C40718"/>
    <w:rsid w:val="00C42EFD"/>
    <w:rsid w:val="00C46023"/>
    <w:rsid w:val="00C47EA2"/>
    <w:rsid w:val="00C51ECE"/>
    <w:rsid w:val="00C61778"/>
    <w:rsid w:val="00C6311E"/>
    <w:rsid w:val="00C65515"/>
    <w:rsid w:val="00C7145D"/>
    <w:rsid w:val="00C736DC"/>
    <w:rsid w:val="00C75AF0"/>
    <w:rsid w:val="00C77B24"/>
    <w:rsid w:val="00C8663A"/>
    <w:rsid w:val="00CA27FD"/>
    <w:rsid w:val="00CB3889"/>
    <w:rsid w:val="00CC2F74"/>
    <w:rsid w:val="00CC38D8"/>
    <w:rsid w:val="00CC47F4"/>
    <w:rsid w:val="00CD3EA0"/>
    <w:rsid w:val="00CD5EAF"/>
    <w:rsid w:val="00CE280C"/>
    <w:rsid w:val="00CE397D"/>
    <w:rsid w:val="00CE3F86"/>
    <w:rsid w:val="00CE75A9"/>
    <w:rsid w:val="00CF1524"/>
    <w:rsid w:val="00CF4D18"/>
    <w:rsid w:val="00D0723E"/>
    <w:rsid w:val="00D23FF7"/>
    <w:rsid w:val="00D31514"/>
    <w:rsid w:val="00D32C75"/>
    <w:rsid w:val="00D34FD3"/>
    <w:rsid w:val="00D44605"/>
    <w:rsid w:val="00D47362"/>
    <w:rsid w:val="00D47583"/>
    <w:rsid w:val="00D50DB9"/>
    <w:rsid w:val="00D57AD7"/>
    <w:rsid w:val="00D601D1"/>
    <w:rsid w:val="00D647D6"/>
    <w:rsid w:val="00D7332D"/>
    <w:rsid w:val="00D742CF"/>
    <w:rsid w:val="00D84BC0"/>
    <w:rsid w:val="00D917B5"/>
    <w:rsid w:val="00D9200C"/>
    <w:rsid w:val="00DA1D95"/>
    <w:rsid w:val="00DA25B9"/>
    <w:rsid w:val="00DA347B"/>
    <w:rsid w:val="00DA5EC8"/>
    <w:rsid w:val="00DA6369"/>
    <w:rsid w:val="00DB30E2"/>
    <w:rsid w:val="00DC22B7"/>
    <w:rsid w:val="00DC240B"/>
    <w:rsid w:val="00DE1E8E"/>
    <w:rsid w:val="00DE47BD"/>
    <w:rsid w:val="00DF3B0F"/>
    <w:rsid w:val="00E02C6A"/>
    <w:rsid w:val="00E03C91"/>
    <w:rsid w:val="00E04D3D"/>
    <w:rsid w:val="00E10862"/>
    <w:rsid w:val="00E12957"/>
    <w:rsid w:val="00E14F8E"/>
    <w:rsid w:val="00E304CD"/>
    <w:rsid w:val="00E30B88"/>
    <w:rsid w:val="00E32F8C"/>
    <w:rsid w:val="00E44FEA"/>
    <w:rsid w:val="00E50040"/>
    <w:rsid w:val="00E51689"/>
    <w:rsid w:val="00E63587"/>
    <w:rsid w:val="00E65B99"/>
    <w:rsid w:val="00E73994"/>
    <w:rsid w:val="00E757FE"/>
    <w:rsid w:val="00E80C61"/>
    <w:rsid w:val="00E82A56"/>
    <w:rsid w:val="00E83CD9"/>
    <w:rsid w:val="00E96498"/>
    <w:rsid w:val="00E96966"/>
    <w:rsid w:val="00EB7F1A"/>
    <w:rsid w:val="00EC3BC3"/>
    <w:rsid w:val="00EC5507"/>
    <w:rsid w:val="00EC6B1A"/>
    <w:rsid w:val="00ED18E1"/>
    <w:rsid w:val="00ED4E77"/>
    <w:rsid w:val="00ED63B5"/>
    <w:rsid w:val="00EE3E86"/>
    <w:rsid w:val="00EF10FE"/>
    <w:rsid w:val="00EF5836"/>
    <w:rsid w:val="00F0466C"/>
    <w:rsid w:val="00F14AB1"/>
    <w:rsid w:val="00F17AF3"/>
    <w:rsid w:val="00F25A81"/>
    <w:rsid w:val="00F33C4E"/>
    <w:rsid w:val="00F44421"/>
    <w:rsid w:val="00F54841"/>
    <w:rsid w:val="00F55203"/>
    <w:rsid w:val="00F564CD"/>
    <w:rsid w:val="00F70A24"/>
    <w:rsid w:val="00F747B6"/>
    <w:rsid w:val="00F81C79"/>
    <w:rsid w:val="00F9335E"/>
    <w:rsid w:val="00F93767"/>
    <w:rsid w:val="00F93845"/>
    <w:rsid w:val="00F9594C"/>
    <w:rsid w:val="00F96223"/>
    <w:rsid w:val="00F97D4F"/>
    <w:rsid w:val="00FA0013"/>
    <w:rsid w:val="00FA3648"/>
    <w:rsid w:val="00FA4E14"/>
    <w:rsid w:val="00FA519B"/>
    <w:rsid w:val="00FA60D3"/>
    <w:rsid w:val="00FB1960"/>
    <w:rsid w:val="00FD5FA0"/>
    <w:rsid w:val="00FE1A1A"/>
    <w:rsid w:val="00FE283C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C2B7F"/>
  <w15:chartTrackingRefBased/>
  <w15:docId w15:val="{2964871E-B209-4C96-819B-A682B6C7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8"/>
    <w:qFormat/>
    <w:rsid w:val="003F2CB3"/>
    <w:pPr>
      <w:spacing w:after="120" w:line="288" w:lineRule="auto"/>
      <w:jc w:val="both"/>
    </w:pPr>
    <w:rPr>
      <w:rFonts w:ascii="Arial" w:eastAsia="Times New Roman" w:hAnsi="Arial" w:cs="Times New Roman"/>
      <w:sz w:val="20"/>
      <w:szCs w:val="18"/>
      <w:lang w:eastAsia="da-DK"/>
    </w:rPr>
  </w:style>
  <w:style w:type="paragraph" w:styleId="Overskrift1">
    <w:name w:val="heading 1"/>
    <w:basedOn w:val="Overskrift"/>
    <w:next w:val="Normal"/>
    <w:link w:val="Overskrift1Tegn"/>
    <w:uiPriority w:val="9"/>
    <w:qFormat/>
    <w:rsid w:val="00604442"/>
    <w:pPr>
      <w:suppressAutoHyphens/>
      <w:spacing w:before="480" w:after="120" w:line="312" w:lineRule="auto"/>
      <w:outlineLvl w:val="0"/>
    </w:pPr>
    <w:rPr>
      <w:szCs w:val="24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04442"/>
    <w:pPr>
      <w:spacing w:line="280" w:lineRule="exact"/>
      <w:outlineLvl w:val="1"/>
    </w:pPr>
    <w:rPr>
      <w:sz w:val="28"/>
      <w:szCs w:val="22"/>
    </w:rPr>
  </w:style>
  <w:style w:type="paragraph" w:styleId="Overskrift3">
    <w:name w:val="heading 3"/>
    <w:basedOn w:val="Overskriftfed"/>
    <w:next w:val="Normal"/>
    <w:link w:val="Overskrift3Tegn"/>
    <w:uiPriority w:val="9"/>
    <w:unhideWhenUsed/>
    <w:qFormat/>
    <w:rsid w:val="003D6D3B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C0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09E3"/>
  </w:style>
  <w:style w:type="paragraph" w:styleId="Sidefod">
    <w:name w:val="footer"/>
    <w:basedOn w:val="Normal"/>
    <w:link w:val="SidefodTegn"/>
    <w:uiPriority w:val="99"/>
    <w:unhideWhenUsed/>
    <w:rsid w:val="005C0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09E3"/>
  </w:style>
  <w:style w:type="paragraph" w:styleId="Dato">
    <w:name w:val="Date"/>
    <w:basedOn w:val="Normal"/>
    <w:next w:val="Normal"/>
    <w:link w:val="DatoTegn"/>
    <w:uiPriority w:val="99"/>
    <w:unhideWhenUsed/>
    <w:rsid w:val="00604442"/>
    <w:pPr>
      <w:spacing w:after="0" w:line="200" w:lineRule="exact"/>
    </w:pPr>
    <w:rPr>
      <w:spacing w:val="2"/>
      <w:sz w:val="14"/>
      <w:szCs w:val="14"/>
    </w:rPr>
  </w:style>
  <w:style w:type="character" w:customStyle="1" w:styleId="DatoTegn">
    <w:name w:val="Dato Tegn"/>
    <w:link w:val="Dato"/>
    <w:uiPriority w:val="99"/>
    <w:rsid w:val="00604442"/>
    <w:rPr>
      <w:rFonts w:ascii="Arial" w:eastAsia="Times New Roman" w:hAnsi="Arial" w:cs="Times New Roman"/>
      <w:spacing w:val="2"/>
      <w:sz w:val="14"/>
      <w:szCs w:val="14"/>
      <w:lang w:eastAsia="da-DK"/>
    </w:rPr>
  </w:style>
  <w:style w:type="character" w:customStyle="1" w:styleId="Overskrift1Tegn">
    <w:name w:val="Overskrift 1 Tegn"/>
    <w:link w:val="Overskrift1"/>
    <w:uiPriority w:val="9"/>
    <w:rsid w:val="00604442"/>
    <w:rPr>
      <w:rFonts w:ascii="Arial" w:eastAsia="Times New Roman" w:hAnsi="Arial" w:cs="Times New Roman"/>
      <w:noProof/>
      <w:spacing w:val="6"/>
      <w:sz w:val="36"/>
      <w:szCs w:val="24"/>
      <w:lang w:eastAsia="da-DK"/>
    </w:rPr>
  </w:style>
  <w:style w:type="paragraph" w:styleId="Overskrift">
    <w:name w:val="TOC Heading"/>
    <w:basedOn w:val="Normal"/>
    <w:next w:val="Normal"/>
    <w:uiPriority w:val="39"/>
    <w:unhideWhenUsed/>
    <w:qFormat/>
    <w:rsid w:val="003D6D3B"/>
    <w:pPr>
      <w:keepNext/>
      <w:spacing w:after="480" w:line="400" w:lineRule="exact"/>
    </w:pPr>
    <w:rPr>
      <w:noProof/>
      <w:sz w:val="36"/>
      <w:szCs w:val="26"/>
    </w:rPr>
  </w:style>
  <w:style w:type="character" w:customStyle="1" w:styleId="Overskrift2Tegn">
    <w:name w:val="Overskrift 2 Tegn"/>
    <w:link w:val="Overskrift2"/>
    <w:uiPriority w:val="9"/>
    <w:rsid w:val="00604442"/>
    <w:rPr>
      <w:rFonts w:ascii="Arial" w:eastAsia="Times New Roman" w:hAnsi="Arial" w:cs="Times New Roman"/>
      <w:noProof/>
      <w:spacing w:val="6"/>
      <w:sz w:val="28"/>
      <w:lang w:eastAsia="da-DK"/>
    </w:rPr>
  </w:style>
  <w:style w:type="paragraph" w:customStyle="1" w:styleId="Overskriftfed">
    <w:name w:val="Overskrift_fed"/>
    <w:basedOn w:val="Normal"/>
    <w:qFormat/>
    <w:rsid w:val="003D6D3B"/>
    <w:pPr>
      <w:keepNext/>
      <w:spacing w:before="240" w:line="280" w:lineRule="exact"/>
    </w:pPr>
    <w:rPr>
      <w:b/>
      <w:spacing w:val="6"/>
    </w:rPr>
  </w:style>
  <w:style w:type="character" w:customStyle="1" w:styleId="Overskrift3Tegn">
    <w:name w:val="Overskrift 3 Tegn"/>
    <w:link w:val="Overskrift3"/>
    <w:uiPriority w:val="9"/>
    <w:rsid w:val="003D6D3B"/>
    <w:rPr>
      <w:rFonts w:ascii="Inter" w:eastAsia="Times New Roman" w:hAnsi="Inter" w:cs="Times New Roman"/>
      <w:b/>
      <w:spacing w:val="6"/>
      <w:sz w:val="20"/>
      <w:szCs w:val="18"/>
      <w:lang w:eastAsia="da-DK"/>
    </w:rPr>
  </w:style>
  <w:style w:type="paragraph" w:customStyle="1" w:styleId="Overskriftkursiv">
    <w:name w:val="Overskrift_kursiv"/>
    <w:basedOn w:val="Overskriftfed"/>
    <w:qFormat/>
    <w:rsid w:val="003D6D3B"/>
    <w:rPr>
      <w:b w:val="0"/>
      <w:i/>
    </w:rPr>
  </w:style>
  <w:style w:type="paragraph" w:styleId="Titel">
    <w:name w:val="Title"/>
    <w:basedOn w:val="Normal"/>
    <w:next w:val="Normal"/>
    <w:link w:val="TitelTegn"/>
    <w:uiPriority w:val="10"/>
    <w:qFormat/>
    <w:rsid w:val="003D6D3B"/>
    <w:pPr>
      <w:spacing w:after="480" w:line="240" w:lineRule="auto"/>
      <w:contextualSpacing/>
    </w:pPr>
    <w:rPr>
      <w:rFonts w:eastAsiaTheme="majorEastAsia" w:cstheme="majorBidi"/>
      <w:spacing w:val="-10"/>
      <w:sz w:val="7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D6D3B"/>
    <w:rPr>
      <w:rFonts w:ascii="Inter" w:eastAsiaTheme="majorEastAsia" w:hAnsi="Inter" w:cstheme="majorBidi"/>
      <w:spacing w:val="-10"/>
      <w:sz w:val="72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D6D3B"/>
    <w:pPr>
      <w:numPr>
        <w:ilvl w:val="1"/>
      </w:numPr>
    </w:pPr>
    <w:rPr>
      <w:rFonts w:eastAsiaTheme="minorEastAsia"/>
      <w:color w:val="000000" w:themeColor="text1"/>
      <w:spacing w:val="10"/>
      <w:sz w:val="3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D6D3B"/>
    <w:rPr>
      <w:rFonts w:ascii="Inter" w:eastAsiaTheme="minorEastAsia" w:hAnsi="Inter"/>
      <w:color w:val="000000" w:themeColor="text1"/>
      <w:spacing w:val="10"/>
      <w:sz w:val="32"/>
    </w:rPr>
  </w:style>
  <w:style w:type="table" w:styleId="Tabel-Gitter">
    <w:name w:val="Table Grid"/>
    <w:basedOn w:val="Tabel-Normal"/>
    <w:uiPriority w:val="59"/>
    <w:rsid w:val="00676EBE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ed0">
    <w:name w:val="Overskrift fed"/>
    <w:basedOn w:val="Normal"/>
    <w:next w:val="Normal"/>
    <w:uiPriority w:val="19"/>
    <w:qFormat/>
    <w:rsid w:val="00676EBE"/>
    <w:pPr>
      <w:keepNext/>
      <w:spacing w:before="240" w:after="60"/>
      <w:jc w:val="left"/>
    </w:pPr>
    <w:rPr>
      <w:b/>
    </w:rPr>
  </w:style>
  <w:style w:type="paragraph" w:styleId="NormalWeb">
    <w:name w:val="Normal (Web)"/>
    <w:basedOn w:val="Normal"/>
    <w:uiPriority w:val="99"/>
    <w:rsid w:val="00676EB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Note">
    <w:name w:val="Note"/>
    <w:basedOn w:val="Normal"/>
    <w:semiHidden/>
    <w:qFormat/>
    <w:rsid w:val="00676EBE"/>
    <w:pPr>
      <w:spacing w:before="40" w:after="0" w:line="180" w:lineRule="atLeast"/>
      <w:ind w:left="567" w:right="57" w:hanging="567"/>
    </w:pPr>
    <w:rPr>
      <w:sz w:val="15"/>
      <w:szCs w:val="16"/>
      <w:lang w:eastAsia="en-US"/>
    </w:rPr>
  </w:style>
  <w:style w:type="paragraph" w:styleId="Fodnotetekst">
    <w:name w:val="footnote text"/>
    <w:basedOn w:val="Normal"/>
    <w:link w:val="FodnotetekstTegn"/>
    <w:uiPriority w:val="99"/>
    <w:semiHidden/>
    <w:rsid w:val="00676EBE"/>
    <w:pPr>
      <w:tabs>
        <w:tab w:val="left" w:pos="397"/>
      </w:tabs>
      <w:spacing w:after="0" w:line="240" w:lineRule="auto"/>
      <w:ind w:left="397" w:hanging="397"/>
    </w:pPr>
    <w:rPr>
      <w:sz w:val="15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76EBE"/>
    <w:rPr>
      <w:rFonts w:ascii="Arial" w:eastAsia="Times New Roman" w:hAnsi="Arial" w:cs="Times New Roman"/>
      <w:sz w:val="15"/>
      <w:szCs w:val="18"/>
      <w:lang w:eastAsia="da-DK"/>
    </w:rPr>
  </w:style>
  <w:style w:type="character" w:styleId="Fodnotehenvisning">
    <w:name w:val="footnote reference"/>
    <w:basedOn w:val="Standardskrifttypeiafsnit"/>
    <w:uiPriority w:val="99"/>
    <w:semiHidden/>
    <w:rsid w:val="00676EBE"/>
    <w:rPr>
      <w:vertAlign w:val="superscript"/>
    </w:rPr>
  </w:style>
  <w:style w:type="character" w:styleId="Hyperlink">
    <w:name w:val="Hyperlink"/>
    <w:basedOn w:val="Standardskrifttypeiafsnit"/>
    <w:uiPriority w:val="99"/>
    <w:rsid w:val="00676EBE"/>
    <w:rPr>
      <w:color w:val="004F9B" w:themeColor="accent3"/>
      <w:u w:val="single"/>
    </w:rPr>
  </w:style>
  <w:style w:type="paragraph" w:customStyle="1" w:styleId="Figurfelt">
    <w:name w:val="Figurfelt"/>
    <w:basedOn w:val="Normal"/>
    <w:semiHidden/>
    <w:rsid w:val="00676EBE"/>
    <w:pPr>
      <w:spacing w:after="0" w:line="240" w:lineRule="auto"/>
      <w:jc w:val="left"/>
    </w:pPr>
    <w:rPr>
      <w:rFonts w:eastAsia="Georgia"/>
      <w:szCs w:val="22"/>
      <w:lang w:eastAsia="en-US"/>
    </w:rPr>
  </w:style>
  <w:style w:type="paragraph" w:customStyle="1" w:styleId="Figuroverskrift">
    <w:name w:val="Figuroverskrift"/>
    <w:basedOn w:val="Normal"/>
    <w:semiHidden/>
    <w:qFormat/>
    <w:rsid w:val="00676EBE"/>
    <w:pPr>
      <w:keepNext/>
      <w:autoSpaceDE w:val="0"/>
      <w:autoSpaceDN w:val="0"/>
      <w:adjustRightInd w:val="0"/>
      <w:spacing w:after="80" w:line="260" w:lineRule="exact"/>
      <w:ind w:left="1021" w:hanging="1021"/>
      <w:jc w:val="left"/>
    </w:pPr>
    <w:rPr>
      <w:b/>
      <w:color w:val="000000"/>
      <w:szCs w:val="24"/>
    </w:rPr>
  </w:style>
  <w:style w:type="character" w:customStyle="1" w:styleId="Ikke-fed">
    <w:name w:val="Ikke-fed"/>
    <w:basedOn w:val="Standardskrifttypeiafsnit"/>
    <w:uiPriority w:val="1"/>
    <w:semiHidden/>
    <w:qFormat/>
    <w:rsid w:val="00676EBE"/>
    <w:rPr>
      <w:b/>
    </w:rPr>
  </w:style>
  <w:style w:type="paragraph" w:customStyle="1" w:styleId="Overskrift2-ikkenummereret">
    <w:name w:val="Overskrift 2 - ikke nummereret"/>
    <w:basedOn w:val="Overskrift2"/>
    <w:next w:val="Normal"/>
    <w:uiPriority w:val="18"/>
    <w:qFormat/>
    <w:rsid w:val="00676EBE"/>
    <w:pPr>
      <w:spacing w:after="240" w:line="320" w:lineRule="atLeast"/>
    </w:pPr>
    <w:rPr>
      <w:rFonts w:cs="Verdana"/>
      <w:noProof w:val="0"/>
      <w:sz w:val="26"/>
      <w:szCs w:val="28"/>
      <w:lang w:eastAsia="en-US"/>
    </w:rPr>
  </w:style>
  <w:style w:type="paragraph" w:styleId="Listeafsnit">
    <w:name w:val="List Paragraph"/>
    <w:basedOn w:val="Normal"/>
    <w:uiPriority w:val="34"/>
    <w:qFormat/>
    <w:rsid w:val="00676EBE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76EB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76EB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76EBE"/>
    <w:rPr>
      <w:rFonts w:ascii="Arial" w:eastAsia="Times New Roman" w:hAnsi="Arial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76E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76EBE"/>
    <w:rPr>
      <w:rFonts w:ascii="Arial" w:eastAsia="Times New Roman" w:hAnsi="Arial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76EBE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76EBE"/>
    <w:rPr>
      <w:rFonts w:ascii="Segoe UI" w:eastAsia="Times New Roman" w:hAnsi="Segoe UI" w:cs="Segoe UI"/>
      <w:sz w:val="18"/>
      <w:szCs w:val="18"/>
      <w:lang w:eastAsia="da-DK"/>
    </w:rPr>
  </w:style>
  <w:style w:type="paragraph" w:styleId="Korrektur">
    <w:name w:val="Revision"/>
    <w:hidden/>
    <w:uiPriority w:val="99"/>
    <w:semiHidden/>
    <w:rsid w:val="00A926C1"/>
    <w:pPr>
      <w:spacing w:after="0" w:line="240" w:lineRule="auto"/>
    </w:pPr>
    <w:rPr>
      <w:rFonts w:ascii="Arial" w:eastAsia="Times New Roman" w:hAnsi="Arial" w:cs="Times New Roman"/>
      <w:sz w:val="20"/>
      <w:szCs w:val="18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5B6C13"/>
    <w:rPr>
      <w:color w:val="954F72" w:themeColor="followedHyperlink"/>
      <w:u w:val="single"/>
    </w:rPr>
  </w:style>
  <w:style w:type="paragraph" w:styleId="Slutnotetekst">
    <w:name w:val="endnote text"/>
    <w:basedOn w:val="Normal"/>
    <w:link w:val="SlutnotetekstTegn"/>
    <w:uiPriority w:val="99"/>
    <w:semiHidden/>
    <w:rsid w:val="008732D5"/>
    <w:pPr>
      <w:spacing w:after="0" w:line="240" w:lineRule="auto"/>
    </w:pPr>
    <w:rPr>
      <w:sz w:val="15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732D5"/>
    <w:rPr>
      <w:rFonts w:ascii="Arial" w:eastAsia="Times New Roman" w:hAnsi="Arial" w:cs="Times New Roman"/>
      <w:sz w:val="15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maru@vive.dk" TargetMode="External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s://eco.vive.dk/" TargetMode="External"/><Relationship Id="rId17" Type="http://schemas.openxmlformats.org/officeDocument/2006/relationships/image" Target="media/image2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istikbanken.dk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www.vive.dk/da/presse/nyhedsbrev/" TargetMode="External"/><Relationship Id="rId23" Type="http://schemas.openxmlformats.org/officeDocument/2006/relationships/hyperlink" Target="http://eco.vive.dk/landkort.asp" TargetMode="Externa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mailto:kuho@vive.dk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kabeloner\VIVE%20enke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sitad.dk\dfs\CU2255\Projekter\301076\VIVEs%20kommunetal\2024.3%20Budgetoverholdelse%202023\Data\Figur%202_budgetoverskridelse%209%20omr&#229;d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sitad.dk\dfs\CU2255\Projekter\301076\VIVEs%20kommunetal\2024.3%20Budgetoverholdelse%202023\Data\Figur%20alternativ%201%20+%202_budgetoverskridelse%209%20omr&#229;de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sitad.dk\dfs\CU2255\Projekter\301076\VIVEs%20kommunetal\2024.3%20Budgetoverholdelse%202023\Data\Figur%203_XY%20diagram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892469004034336E-2"/>
          <c:y val="4.5194913487596418E-2"/>
          <c:w val="0.91266337072316084"/>
          <c:h val="0.561943077940773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'Figur 3 BO 7 områder'!$L$1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Inter" panose="020B0502030000000004" pitchFamily="34" charset="0"/>
                    <a:ea typeface="Inter" panose="020B0502030000000004" pitchFamily="34" charset="0"/>
                    <a:cs typeface="+mn-cs"/>
                  </a:defRPr>
                </a:pPr>
                <a:endParaRPr lang="da-D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 3 BO 7 områder'!$A$2:$A$10</c:f>
              <c:strCache>
                <c:ptCount val="9"/>
                <c:pt idx="0">
                  <c:v>Dagtilbud</c:v>
                </c:pt>
                <c:pt idx="1">
                  <c:v>Folkeskolen</c:v>
                </c:pt>
                <c:pt idx="2">
                  <c:v>Tilbud til ældre</c:v>
                </c:pt>
                <c:pt idx="3">
                  <c:v>Børn/unge med særlige behov</c:v>
                </c:pt>
                <c:pt idx="4">
                  <c:v>Voksne med særlige behov</c:v>
                </c:pt>
                <c:pt idx="5">
                  <c:v>Kultur og fritid</c:v>
                </c:pt>
                <c:pt idx="6">
                  <c:v>Vejvæsen</c:v>
                </c:pt>
                <c:pt idx="7">
                  <c:v>Administration mv.</c:v>
                </c:pt>
                <c:pt idx="8">
                  <c:v>Sundhedsvæsen</c:v>
                </c:pt>
              </c:strCache>
            </c:strRef>
          </c:cat>
          <c:val>
            <c:numRef>
              <c:f>'Figur 3 BO 7 områder'!$L$2:$L$10</c:f>
              <c:numCache>
                <c:formatCode>0.0</c:formatCode>
                <c:ptCount val="9"/>
                <c:pt idx="0">
                  <c:v>-1.5805640421451119</c:v>
                </c:pt>
                <c:pt idx="1">
                  <c:v>2.9626170828836429</c:v>
                </c:pt>
                <c:pt idx="2">
                  <c:v>1.0045441762558736</c:v>
                </c:pt>
                <c:pt idx="3">
                  <c:v>8.8285423540750152</c:v>
                </c:pt>
                <c:pt idx="4">
                  <c:v>3.88043009036438</c:v>
                </c:pt>
                <c:pt idx="5">
                  <c:v>-1.1148484622923891</c:v>
                </c:pt>
                <c:pt idx="6">
                  <c:v>-1.2597659116737949</c:v>
                </c:pt>
                <c:pt idx="7">
                  <c:v>-1.6473638336653069</c:v>
                </c:pt>
                <c:pt idx="8">
                  <c:v>-0.29377685755810984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5E-4B3C-AC5D-7DB77B1F061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82483535"/>
        <c:axId val="1182483951"/>
      </c:barChart>
      <c:catAx>
        <c:axId val="11824835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Inter" panose="020B0502030000000004" pitchFamily="34" charset="0"/>
                <a:ea typeface="Inter" panose="020B0502030000000004" pitchFamily="34" charset="0"/>
                <a:cs typeface="+mn-cs"/>
              </a:defRPr>
            </a:pPr>
            <a:endParaRPr lang="da-DK"/>
          </a:p>
        </c:txPr>
        <c:crossAx val="1182483951"/>
        <c:crosses val="autoZero"/>
        <c:auto val="1"/>
        <c:lblAlgn val="ctr"/>
        <c:lblOffset val="100"/>
        <c:noMultiLvlLbl val="0"/>
      </c:catAx>
      <c:valAx>
        <c:axId val="11824839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Inter" panose="020B0502030000000004" pitchFamily="34" charset="0"/>
                <a:ea typeface="Inter" panose="020B0502030000000004" pitchFamily="34" charset="0"/>
                <a:cs typeface="+mn-cs"/>
              </a:defRPr>
            </a:pPr>
            <a:endParaRPr lang="da-DK"/>
          </a:p>
        </c:txPr>
        <c:crossAx val="11824835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Inter" panose="020B0502030000000004" pitchFamily="34" charset="0"/>
          <a:ea typeface="Inter" panose="020B0502030000000004" pitchFamily="34" charset="0"/>
        </a:defRPr>
      </a:pPr>
      <a:endParaRPr lang="da-D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704870839095803E-2"/>
          <c:y val="3.8814396612561752E-2"/>
          <c:w val="0.92911527456181031"/>
          <c:h val="0.57699291948971498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'Figur 3 BO 7 områder'!$H$1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'Figur 3 BO 7 områder'!$A$2:$A$10</c:f>
              <c:strCache>
                <c:ptCount val="9"/>
                <c:pt idx="0">
                  <c:v>Dagtilbud</c:v>
                </c:pt>
                <c:pt idx="1">
                  <c:v>Folkeskolen</c:v>
                </c:pt>
                <c:pt idx="2">
                  <c:v>Tilbud til ældre</c:v>
                </c:pt>
                <c:pt idx="3">
                  <c:v>Børn/unge med særlige behov</c:v>
                </c:pt>
                <c:pt idx="4">
                  <c:v>Voksne med særlige behov</c:v>
                </c:pt>
                <c:pt idx="5">
                  <c:v>Kultur og fritid</c:v>
                </c:pt>
                <c:pt idx="6">
                  <c:v>Vejvæsen</c:v>
                </c:pt>
                <c:pt idx="7">
                  <c:v>Administration mv.</c:v>
                </c:pt>
                <c:pt idx="8">
                  <c:v>Sundhedsvæsen</c:v>
                </c:pt>
              </c:strCache>
            </c:strRef>
          </c:cat>
          <c:val>
            <c:numRef>
              <c:f>'Figur 3 BO 7 områder'!$H$2:$H$10</c:f>
              <c:numCache>
                <c:formatCode>0.0</c:formatCode>
                <c:ptCount val="9"/>
                <c:pt idx="0">
                  <c:v>-2.0943925674595594</c:v>
                </c:pt>
                <c:pt idx="1">
                  <c:v>1.330761011609169</c:v>
                </c:pt>
                <c:pt idx="2">
                  <c:v>1.0407014592633315</c:v>
                </c:pt>
                <c:pt idx="3">
                  <c:v>4.0533947352530229</c:v>
                </c:pt>
                <c:pt idx="4">
                  <c:v>5.7899836166662952</c:v>
                </c:pt>
                <c:pt idx="5">
                  <c:v>0.88525088586548528</c:v>
                </c:pt>
                <c:pt idx="6">
                  <c:v>-7.9490197807030096</c:v>
                </c:pt>
                <c:pt idx="7">
                  <c:v>-1.8706225366778957</c:v>
                </c:pt>
                <c:pt idx="8">
                  <c:v>-1.920036372299714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4C-4DCD-940E-9E22EA89033A}"/>
            </c:ext>
          </c:extLst>
        </c:ser>
        <c:ser>
          <c:idx val="2"/>
          <c:order val="2"/>
          <c:tx>
            <c:strRef>
              <c:f>'Figur 3 BO 7 områder'!$I$1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'Figur 3 BO 7 områder'!$A$2:$A$10</c:f>
              <c:strCache>
                <c:ptCount val="9"/>
                <c:pt idx="0">
                  <c:v>Dagtilbud</c:v>
                </c:pt>
                <c:pt idx="1">
                  <c:v>Folkeskolen</c:v>
                </c:pt>
                <c:pt idx="2">
                  <c:v>Tilbud til ældre</c:v>
                </c:pt>
                <c:pt idx="3">
                  <c:v>Børn/unge med særlige behov</c:v>
                </c:pt>
                <c:pt idx="4">
                  <c:v>Voksne med særlige behov</c:v>
                </c:pt>
                <c:pt idx="5">
                  <c:v>Kultur og fritid</c:v>
                </c:pt>
                <c:pt idx="6">
                  <c:v>Vejvæsen</c:v>
                </c:pt>
                <c:pt idx="7">
                  <c:v>Administration mv.</c:v>
                </c:pt>
                <c:pt idx="8">
                  <c:v>Sundhedsvæsen</c:v>
                </c:pt>
              </c:strCache>
            </c:strRef>
          </c:cat>
          <c:val>
            <c:numRef>
              <c:f>'Figur 3 BO 7 områder'!$I$2:$I$10</c:f>
              <c:numCache>
                <c:formatCode>0.0</c:formatCode>
                <c:ptCount val="9"/>
                <c:pt idx="0">
                  <c:v>-1.5682960261982011</c:v>
                </c:pt>
                <c:pt idx="1">
                  <c:v>0.64601354039580183</c:v>
                </c:pt>
                <c:pt idx="2">
                  <c:v>1.7135583376885768</c:v>
                </c:pt>
                <c:pt idx="3">
                  <c:v>2.441058628615131</c:v>
                </c:pt>
                <c:pt idx="4">
                  <c:v>2.5485253634306848</c:v>
                </c:pt>
                <c:pt idx="5">
                  <c:v>-1.6574514389492721E-2</c:v>
                </c:pt>
                <c:pt idx="6">
                  <c:v>-8.2115896727920212</c:v>
                </c:pt>
                <c:pt idx="7">
                  <c:v>-3.017821674510794</c:v>
                </c:pt>
                <c:pt idx="8">
                  <c:v>-1.29870925501909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4C-4DCD-940E-9E22EA89033A}"/>
            </c:ext>
          </c:extLst>
        </c:ser>
        <c:ser>
          <c:idx val="3"/>
          <c:order val="3"/>
          <c:tx>
            <c:strRef>
              <c:f>'Figur 3 BO 7 områder'!$J$1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'Figur 3 BO 7 områder'!$A$2:$A$10</c:f>
              <c:strCache>
                <c:ptCount val="9"/>
                <c:pt idx="0">
                  <c:v>Dagtilbud</c:v>
                </c:pt>
                <c:pt idx="1">
                  <c:v>Folkeskolen</c:v>
                </c:pt>
                <c:pt idx="2">
                  <c:v>Tilbud til ældre</c:v>
                </c:pt>
                <c:pt idx="3">
                  <c:v>Børn/unge med særlige behov</c:v>
                </c:pt>
                <c:pt idx="4">
                  <c:v>Voksne med særlige behov</c:v>
                </c:pt>
                <c:pt idx="5">
                  <c:v>Kultur og fritid</c:v>
                </c:pt>
                <c:pt idx="6">
                  <c:v>Vejvæsen</c:v>
                </c:pt>
                <c:pt idx="7">
                  <c:v>Administration mv.</c:v>
                </c:pt>
                <c:pt idx="8">
                  <c:v>Sundhedsvæsen</c:v>
                </c:pt>
              </c:strCache>
            </c:strRef>
          </c:cat>
          <c:val>
            <c:numRef>
              <c:f>'Figur 3 BO 7 områder'!$J$2:$J$10</c:f>
              <c:numCache>
                <c:formatCode>0.0</c:formatCode>
                <c:ptCount val="9"/>
                <c:pt idx="0">
                  <c:v>-0.31270604369997551</c:v>
                </c:pt>
                <c:pt idx="1">
                  <c:v>2.6571083869732557</c:v>
                </c:pt>
                <c:pt idx="2">
                  <c:v>2.657963850234522</c:v>
                </c:pt>
                <c:pt idx="3">
                  <c:v>4.6653048121830718</c:v>
                </c:pt>
                <c:pt idx="4">
                  <c:v>3.9103626281401827</c:v>
                </c:pt>
                <c:pt idx="5">
                  <c:v>1.0686090230021716</c:v>
                </c:pt>
                <c:pt idx="6">
                  <c:v>0.49221002300328109</c:v>
                </c:pt>
                <c:pt idx="7">
                  <c:v>-1.8586526495365068</c:v>
                </c:pt>
                <c:pt idx="8">
                  <c:v>2.6247169128821159E-2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4C-4DCD-940E-9E22EA89033A}"/>
            </c:ext>
          </c:extLst>
        </c:ser>
        <c:ser>
          <c:idx val="4"/>
          <c:order val="4"/>
          <c:tx>
            <c:strRef>
              <c:f>'Figur 3 BO 7 områder'!$K$1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'Figur 3 BO 7 områder'!$A$2:$A$10</c:f>
              <c:strCache>
                <c:ptCount val="9"/>
                <c:pt idx="0">
                  <c:v>Dagtilbud</c:v>
                </c:pt>
                <c:pt idx="1">
                  <c:v>Folkeskolen</c:v>
                </c:pt>
                <c:pt idx="2">
                  <c:v>Tilbud til ældre</c:v>
                </c:pt>
                <c:pt idx="3">
                  <c:v>Børn/unge med særlige behov</c:v>
                </c:pt>
                <c:pt idx="4">
                  <c:v>Voksne med særlige behov</c:v>
                </c:pt>
                <c:pt idx="5">
                  <c:v>Kultur og fritid</c:v>
                </c:pt>
                <c:pt idx="6">
                  <c:v>Vejvæsen</c:v>
                </c:pt>
                <c:pt idx="7">
                  <c:v>Administration mv.</c:v>
                </c:pt>
                <c:pt idx="8">
                  <c:v>Sundhedsvæsen</c:v>
                </c:pt>
              </c:strCache>
            </c:strRef>
          </c:cat>
          <c:val>
            <c:numRef>
              <c:f>'Figur 3 BO 7 områder'!$K$2:$K$10</c:f>
              <c:numCache>
                <c:formatCode>0.0</c:formatCode>
                <c:ptCount val="9"/>
                <c:pt idx="0">
                  <c:v>-0.55613236678932576</c:v>
                </c:pt>
                <c:pt idx="1">
                  <c:v>3.765451405190424</c:v>
                </c:pt>
                <c:pt idx="2">
                  <c:v>2.1767526599692104</c:v>
                </c:pt>
                <c:pt idx="3">
                  <c:v>7.3046723541431327</c:v>
                </c:pt>
                <c:pt idx="4">
                  <c:v>5.3886976663947204</c:v>
                </c:pt>
                <c:pt idx="5">
                  <c:v>1.5489139158757146</c:v>
                </c:pt>
                <c:pt idx="6">
                  <c:v>1.3253442878377826</c:v>
                </c:pt>
                <c:pt idx="7">
                  <c:v>-0.42841457200316851</c:v>
                </c:pt>
                <c:pt idx="8">
                  <c:v>-2.1127308225254243E-2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4C-4DCD-940E-9E22EA89033A}"/>
            </c:ext>
          </c:extLst>
        </c:ser>
        <c:ser>
          <c:idx val="5"/>
          <c:order val="5"/>
          <c:tx>
            <c:strRef>
              <c:f>'Figur 3 BO 7 områder'!$L$1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'Figur 3 BO 7 områder'!$A$2:$A$10</c:f>
              <c:strCache>
                <c:ptCount val="9"/>
                <c:pt idx="0">
                  <c:v>Dagtilbud</c:v>
                </c:pt>
                <c:pt idx="1">
                  <c:v>Folkeskolen</c:v>
                </c:pt>
                <c:pt idx="2">
                  <c:v>Tilbud til ældre</c:v>
                </c:pt>
                <c:pt idx="3">
                  <c:v>Børn/unge med særlige behov</c:v>
                </c:pt>
                <c:pt idx="4">
                  <c:v>Voksne med særlige behov</c:v>
                </c:pt>
                <c:pt idx="5">
                  <c:v>Kultur og fritid</c:v>
                </c:pt>
                <c:pt idx="6">
                  <c:v>Vejvæsen</c:v>
                </c:pt>
                <c:pt idx="7">
                  <c:v>Administration mv.</c:v>
                </c:pt>
                <c:pt idx="8">
                  <c:v>Sundhedsvæsen</c:v>
                </c:pt>
              </c:strCache>
            </c:strRef>
          </c:cat>
          <c:val>
            <c:numRef>
              <c:f>'Figur 3 BO 7 områder'!$L$2:$L$10</c:f>
              <c:numCache>
                <c:formatCode>0.0</c:formatCode>
                <c:ptCount val="9"/>
                <c:pt idx="0">
                  <c:v>-1.5805640421451119</c:v>
                </c:pt>
                <c:pt idx="1">
                  <c:v>2.9626170828836429</c:v>
                </c:pt>
                <c:pt idx="2">
                  <c:v>1.0045441762558736</c:v>
                </c:pt>
                <c:pt idx="3">
                  <c:v>8.8285423540750152</c:v>
                </c:pt>
                <c:pt idx="4">
                  <c:v>3.88043009036438</c:v>
                </c:pt>
                <c:pt idx="5">
                  <c:v>-1.1148484622923891</c:v>
                </c:pt>
                <c:pt idx="6">
                  <c:v>-1.2597659116737949</c:v>
                </c:pt>
                <c:pt idx="7">
                  <c:v>-1.6473638336653069</c:v>
                </c:pt>
                <c:pt idx="8">
                  <c:v>-0.29377685755810984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C4C-4DCD-940E-9E22EA8903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6709040"/>
        <c:axId val="76670674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'Figur 3 BO 7 områder'!$G$1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'Figur 3 BO 7 områder'!$A$2:$A$10</c15:sqref>
                        </c15:formulaRef>
                      </c:ext>
                    </c:extLst>
                    <c:strCache>
                      <c:ptCount val="9"/>
                      <c:pt idx="0">
                        <c:v>Dagtilbud</c:v>
                      </c:pt>
                      <c:pt idx="1">
                        <c:v>Folkeskolen</c:v>
                      </c:pt>
                      <c:pt idx="2">
                        <c:v>Tilbud til ældre</c:v>
                      </c:pt>
                      <c:pt idx="3">
                        <c:v>Børn/unge med særlige behov</c:v>
                      </c:pt>
                      <c:pt idx="4">
                        <c:v>Voksne med særlige behov</c:v>
                      </c:pt>
                      <c:pt idx="5">
                        <c:v>Kultur og fritid</c:v>
                      </c:pt>
                      <c:pt idx="6">
                        <c:v>Vejvæsen</c:v>
                      </c:pt>
                      <c:pt idx="7">
                        <c:v>Administration mv.</c:v>
                      </c:pt>
                      <c:pt idx="8">
                        <c:v>Sundhedsvæsen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'Figur 3 BO 7 områder'!$G$2:$G$10</c15:sqref>
                        </c15:formulaRef>
                      </c:ext>
                    </c:extLst>
                    <c:numCache>
                      <c:formatCode>0.0</c:formatCode>
                      <c:ptCount val="9"/>
                      <c:pt idx="0">
                        <c:v>-1.4012261436307656</c:v>
                      </c:pt>
                      <c:pt idx="1">
                        <c:v>1.4444436130320815</c:v>
                      </c:pt>
                      <c:pt idx="2">
                        <c:v>-0.14672698135717196</c:v>
                      </c:pt>
                      <c:pt idx="3">
                        <c:v>5.2986342009798042</c:v>
                      </c:pt>
                      <c:pt idx="4">
                        <c:v>5.5499017022452852</c:v>
                      </c:pt>
                      <c:pt idx="5">
                        <c:v>0.117961030460105</c:v>
                      </c:pt>
                      <c:pt idx="6">
                        <c:v>-2.5621051351994719</c:v>
                      </c:pt>
                      <c:pt idx="7">
                        <c:v>-0.96208258299918059</c:v>
                      </c:pt>
                      <c:pt idx="8">
                        <c:v>0.49327548456659626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9C4C-4DCD-940E-9E22EA89033A}"/>
                  </c:ext>
                </c:extLst>
              </c15:ser>
            </c15:filteredBarSeries>
          </c:ext>
        </c:extLst>
      </c:barChart>
      <c:catAx>
        <c:axId val="766709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Inter" panose="020B0502030000000004" pitchFamily="34" charset="0"/>
                <a:ea typeface="Inter" panose="020B0502030000000004" pitchFamily="34" charset="0"/>
                <a:cs typeface="+mn-cs"/>
              </a:defRPr>
            </a:pPr>
            <a:endParaRPr lang="da-DK"/>
          </a:p>
        </c:txPr>
        <c:crossAx val="766706744"/>
        <c:crosses val="autoZero"/>
        <c:auto val="1"/>
        <c:lblAlgn val="ctr"/>
        <c:lblOffset val="100"/>
        <c:noMultiLvlLbl val="0"/>
      </c:catAx>
      <c:valAx>
        <c:axId val="766706744"/>
        <c:scaling>
          <c:orientation val="minMax"/>
          <c:min val="-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Inter" panose="020B0502030000000004" pitchFamily="34" charset="0"/>
                <a:ea typeface="Inter" panose="020B0502030000000004" pitchFamily="34" charset="0"/>
                <a:cs typeface="+mn-cs"/>
              </a:defRPr>
            </a:pPr>
            <a:endParaRPr lang="da-DK"/>
          </a:p>
        </c:txPr>
        <c:crossAx val="766709040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Inter" panose="020B0502030000000004" pitchFamily="34" charset="0"/>
              <a:ea typeface="Inter" panose="020B0502030000000004" pitchFamily="34" charset="0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Inter" panose="020B0502030000000004" pitchFamily="34" charset="0"/>
          <a:ea typeface="Inter" panose="020B0502030000000004" pitchFamily="34" charset="0"/>
        </a:defRPr>
      </a:pPr>
      <a:endParaRPr lang="da-D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297285744817265E-2"/>
          <c:y val="1.5165282782390726E-2"/>
          <c:w val="0.88691489701850956"/>
          <c:h val="0.87880307065643126"/>
        </c:manualLayout>
      </c:layout>
      <c:scatterChart>
        <c:scatterStyle val="lineMarker"/>
        <c:varyColors val="0"/>
        <c:ser>
          <c:idx val="0"/>
          <c:order val="0"/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'Figur 2 XY-diagram'!$H$4:$H$101</c:f>
              <c:numCache>
                <c:formatCode>0.0</c:formatCode>
                <c:ptCount val="98"/>
                <c:pt idx="0">
                  <c:v>5.8332090708125683</c:v>
                </c:pt>
                <c:pt idx="1">
                  <c:v>1.564658798337943</c:v>
                </c:pt>
                <c:pt idx="2">
                  <c:v>17.474929466494423</c:v>
                </c:pt>
                <c:pt idx="3">
                  <c:v>7.4257037559789634</c:v>
                </c:pt>
                <c:pt idx="4">
                  <c:v>0.54117468967604465</c:v>
                </c:pt>
                <c:pt idx="5">
                  <c:v>0.55901730641924841</c:v>
                </c:pt>
                <c:pt idx="6">
                  <c:v>14.596786304249878</c:v>
                </c:pt>
                <c:pt idx="7">
                  <c:v>-10.055743980657486</c:v>
                </c:pt>
                <c:pt idx="8">
                  <c:v>11.347155923186261</c:v>
                </c:pt>
                <c:pt idx="9">
                  <c:v>-2.4664057140551203</c:v>
                </c:pt>
                <c:pt idx="10">
                  <c:v>9.0954345773289109</c:v>
                </c:pt>
                <c:pt idx="11">
                  <c:v>2.9024989667263621</c:v>
                </c:pt>
                <c:pt idx="12">
                  <c:v>6.9436488491666504</c:v>
                </c:pt>
                <c:pt idx="13">
                  <c:v>9.3396360534546599</c:v>
                </c:pt>
                <c:pt idx="14">
                  <c:v>-0.906046680007631</c:v>
                </c:pt>
                <c:pt idx="15">
                  <c:v>9.3306709553840701</c:v>
                </c:pt>
                <c:pt idx="16">
                  <c:v>9.3871647061325927</c:v>
                </c:pt>
                <c:pt idx="17">
                  <c:v>15.867451994445208</c:v>
                </c:pt>
                <c:pt idx="18">
                  <c:v>27.944519835744863</c:v>
                </c:pt>
                <c:pt idx="19">
                  <c:v>26.840838776211751</c:v>
                </c:pt>
                <c:pt idx="20">
                  <c:v>14.748630760594212</c:v>
                </c:pt>
                <c:pt idx="21">
                  <c:v>7.6706646330190473</c:v>
                </c:pt>
                <c:pt idx="22">
                  <c:v>-5.283558066582362</c:v>
                </c:pt>
                <c:pt idx="23">
                  <c:v>11.690285295064442</c:v>
                </c:pt>
                <c:pt idx="24">
                  <c:v>22.280008144704265</c:v>
                </c:pt>
                <c:pt idx="25">
                  <c:v>7.7385404774090381</c:v>
                </c:pt>
                <c:pt idx="26">
                  <c:v>6.9142172535703015</c:v>
                </c:pt>
                <c:pt idx="27">
                  <c:v>1.8156021660479089</c:v>
                </c:pt>
                <c:pt idx="28">
                  <c:v>-3.1613367938442445</c:v>
                </c:pt>
                <c:pt idx="29">
                  <c:v>4.4506233217204736</c:v>
                </c:pt>
                <c:pt idx="30">
                  <c:v>-13.665775872593844</c:v>
                </c:pt>
                <c:pt idx="31">
                  <c:v>14.275635337416153</c:v>
                </c:pt>
                <c:pt idx="32">
                  <c:v>3.7838000195234875</c:v>
                </c:pt>
                <c:pt idx="33">
                  <c:v>22.778389577422733</c:v>
                </c:pt>
                <c:pt idx="34">
                  <c:v>31.462935076378802</c:v>
                </c:pt>
                <c:pt idx="35">
                  <c:v>2.2906953172511693</c:v>
                </c:pt>
                <c:pt idx="36">
                  <c:v>28.807716217998227</c:v>
                </c:pt>
                <c:pt idx="37">
                  <c:v>7.7135950842633152</c:v>
                </c:pt>
                <c:pt idx="38">
                  <c:v>10.701756918679356</c:v>
                </c:pt>
                <c:pt idx="39">
                  <c:v>21.035587901448896</c:v>
                </c:pt>
                <c:pt idx="40">
                  <c:v>6.7708693547271519</c:v>
                </c:pt>
                <c:pt idx="41">
                  <c:v>3.0784656926987672</c:v>
                </c:pt>
                <c:pt idx="42">
                  <c:v>8.1608037072631774</c:v>
                </c:pt>
                <c:pt idx="43">
                  <c:v>8.3505124278478142</c:v>
                </c:pt>
                <c:pt idx="44">
                  <c:v>5.7066774078052447</c:v>
                </c:pt>
                <c:pt idx="45">
                  <c:v>27.493362356415474</c:v>
                </c:pt>
                <c:pt idx="46">
                  <c:v>8.9054390480610923</c:v>
                </c:pt>
                <c:pt idx="47">
                  <c:v>5.9127924802022047</c:v>
                </c:pt>
                <c:pt idx="48">
                  <c:v>4.4289494163424026</c:v>
                </c:pt>
                <c:pt idx="49">
                  <c:v>24.49770541780854</c:v>
                </c:pt>
                <c:pt idx="50">
                  <c:v>7.7253858964480049</c:v>
                </c:pt>
                <c:pt idx="51">
                  <c:v>6.8472304279396878</c:v>
                </c:pt>
                <c:pt idx="52">
                  <c:v>0.64823058090362151</c:v>
                </c:pt>
                <c:pt idx="53">
                  <c:v>17.401703168236125</c:v>
                </c:pt>
                <c:pt idx="54">
                  <c:v>14.161259585280641</c:v>
                </c:pt>
                <c:pt idx="55">
                  <c:v>-5.4392911010558054</c:v>
                </c:pt>
                <c:pt idx="56">
                  <c:v>-7.3155442139132356</c:v>
                </c:pt>
                <c:pt idx="57">
                  <c:v>3.9423620066718588</c:v>
                </c:pt>
                <c:pt idx="58">
                  <c:v>23.576581759677399</c:v>
                </c:pt>
                <c:pt idx="59">
                  <c:v>-6.0746557818300131</c:v>
                </c:pt>
                <c:pt idx="60">
                  <c:v>3.0005550823531681</c:v>
                </c:pt>
                <c:pt idx="61">
                  <c:v>44.896288209606979</c:v>
                </c:pt>
                <c:pt idx="62">
                  <c:v>-0.8545005894370048</c:v>
                </c:pt>
                <c:pt idx="63">
                  <c:v>5.3465511496167801</c:v>
                </c:pt>
                <c:pt idx="64">
                  <c:v>3.60317505802792</c:v>
                </c:pt>
                <c:pt idx="65">
                  <c:v>21.176006194300644</c:v>
                </c:pt>
                <c:pt idx="66">
                  <c:v>10.775367136036735</c:v>
                </c:pt>
                <c:pt idx="67">
                  <c:v>6.4433653955195442</c:v>
                </c:pt>
                <c:pt idx="68">
                  <c:v>13.136211703230138</c:v>
                </c:pt>
                <c:pt idx="69">
                  <c:v>9.9814923275154985</c:v>
                </c:pt>
                <c:pt idx="70">
                  <c:v>2.5216969808881986</c:v>
                </c:pt>
                <c:pt idx="71">
                  <c:v>2.3603113332911421</c:v>
                </c:pt>
                <c:pt idx="72">
                  <c:v>4.3203959636800766</c:v>
                </c:pt>
                <c:pt idx="73">
                  <c:v>14.695684249354485</c:v>
                </c:pt>
                <c:pt idx="74">
                  <c:v>7.0972567246307143</c:v>
                </c:pt>
                <c:pt idx="75">
                  <c:v>-6.6685906427646335</c:v>
                </c:pt>
                <c:pt idx="76">
                  <c:v>-4.5799400265456525</c:v>
                </c:pt>
                <c:pt idx="77">
                  <c:v>22.909425237415434</c:v>
                </c:pt>
                <c:pt idx="78">
                  <c:v>7.4433419825349274</c:v>
                </c:pt>
                <c:pt idx="79">
                  <c:v>-21.73795343800759</c:v>
                </c:pt>
                <c:pt idx="80">
                  <c:v>3.497604189881883</c:v>
                </c:pt>
                <c:pt idx="81">
                  <c:v>6.2585226937029743</c:v>
                </c:pt>
                <c:pt idx="82">
                  <c:v>-1.2287023266491748</c:v>
                </c:pt>
                <c:pt idx="83">
                  <c:v>3.5214295650854273</c:v>
                </c:pt>
                <c:pt idx="84">
                  <c:v>-1.6259305023959443</c:v>
                </c:pt>
                <c:pt idx="85">
                  <c:v>13.158297742006836</c:v>
                </c:pt>
                <c:pt idx="86">
                  <c:v>-0.62807250354374988</c:v>
                </c:pt>
                <c:pt idx="87">
                  <c:v>11.425991149643275</c:v>
                </c:pt>
                <c:pt idx="88">
                  <c:v>3.6117307200058506</c:v>
                </c:pt>
                <c:pt idx="89">
                  <c:v>-4.3559155776350398</c:v>
                </c:pt>
                <c:pt idx="90">
                  <c:v>15.913104372183659</c:v>
                </c:pt>
                <c:pt idx="91">
                  <c:v>-3.1346155407435115</c:v>
                </c:pt>
                <c:pt idx="92">
                  <c:v>-28.128872366790585</c:v>
                </c:pt>
                <c:pt idx="93">
                  <c:v>2.1124230594208906</c:v>
                </c:pt>
                <c:pt idx="94">
                  <c:v>6.4538656269095176</c:v>
                </c:pt>
                <c:pt idx="95">
                  <c:v>9.533630593600682</c:v>
                </c:pt>
                <c:pt idx="96">
                  <c:v>5.9469037599059398</c:v>
                </c:pt>
                <c:pt idx="97">
                  <c:v>-3.380391864709833</c:v>
                </c:pt>
              </c:numCache>
            </c:numRef>
          </c:xVal>
          <c:yVal>
            <c:numRef>
              <c:f>'Figur 2 XY-diagram'!$I$4:$I$101</c:f>
              <c:numCache>
                <c:formatCode>0.0</c:formatCode>
                <c:ptCount val="98"/>
                <c:pt idx="0">
                  <c:v>6.996234723431205</c:v>
                </c:pt>
                <c:pt idx="1">
                  <c:v>-6.2057972951046532</c:v>
                </c:pt>
                <c:pt idx="2">
                  <c:v>5.4796110429881217</c:v>
                </c:pt>
                <c:pt idx="3">
                  <c:v>5.1220493653705947</c:v>
                </c:pt>
                <c:pt idx="4">
                  <c:v>-11.608058486883461</c:v>
                </c:pt>
                <c:pt idx="5">
                  <c:v>-1.8016095280730549</c:v>
                </c:pt>
                <c:pt idx="6">
                  <c:v>16.103182237578284</c:v>
                </c:pt>
                <c:pt idx="7">
                  <c:v>-3.066151217003195</c:v>
                </c:pt>
                <c:pt idx="8">
                  <c:v>13.799767197441412</c:v>
                </c:pt>
                <c:pt idx="9">
                  <c:v>-7.6395059010386719</c:v>
                </c:pt>
                <c:pt idx="10">
                  <c:v>7.1402880285438828</c:v>
                </c:pt>
                <c:pt idx="11">
                  <c:v>9.3830655585551668</c:v>
                </c:pt>
                <c:pt idx="12">
                  <c:v>26.22040793265155</c:v>
                </c:pt>
                <c:pt idx="13">
                  <c:v>11.437996933029206</c:v>
                </c:pt>
                <c:pt idx="14">
                  <c:v>-1.1561982109455953</c:v>
                </c:pt>
                <c:pt idx="15">
                  <c:v>19.279962916545035</c:v>
                </c:pt>
                <c:pt idx="16">
                  <c:v>15.825197203481375</c:v>
                </c:pt>
                <c:pt idx="17">
                  <c:v>11.085069127786065</c:v>
                </c:pt>
                <c:pt idx="18">
                  <c:v>3.2059384836543048</c:v>
                </c:pt>
                <c:pt idx="19">
                  <c:v>27.284008065767011</c:v>
                </c:pt>
                <c:pt idx="20">
                  <c:v>8.6657303370786334</c:v>
                </c:pt>
                <c:pt idx="21">
                  <c:v>11.6786421192484</c:v>
                </c:pt>
                <c:pt idx="22">
                  <c:v>5.7080095188963647</c:v>
                </c:pt>
                <c:pt idx="23">
                  <c:v>19.917015396201762</c:v>
                </c:pt>
                <c:pt idx="24">
                  <c:v>17.82783460023083</c:v>
                </c:pt>
                <c:pt idx="25">
                  <c:v>22.668937107941954</c:v>
                </c:pt>
                <c:pt idx="26">
                  <c:v>12.610578629747957</c:v>
                </c:pt>
                <c:pt idx="27">
                  <c:v>-5.9795163684594055</c:v>
                </c:pt>
                <c:pt idx="28">
                  <c:v>-0.72538299139284257</c:v>
                </c:pt>
                <c:pt idx="29">
                  <c:v>6.7426778171004624</c:v>
                </c:pt>
                <c:pt idx="30">
                  <c:v>-3.63857217789803</c:v>
                </c:pt>
                <c:pt idx="31">
                  <c:v>18.947306191621024</c:v>
                </c:pt>
                <c:pt idx="32">
                  <c:v>8.5539834009725517</c:v>
                </c:pt>
                <c:pt idx="33">
                  <c:v>14.396377599715873</c:v>
                </c:pt>
                <c:pt idx="34">
                  <c:v>7.3384702802308812</c:v>
                </c:pt>
                <c:pt idx="35">
                  <c:v>7.5312864275188547</c:v>
                </c:pt>
                <c:pt idx="36">
                  <c:v>20.960979541328463</c:v>
                </c:pt>
                <c:pt idx="37">
                  <c:v>-11.699372850495655</c:v>
                </c:pt>
                <c:pt idx="38">
                  <c:v>12.873061525342886</c:v>
                </c:pt>
                <c:pt idx="39">
                  <c:v>25.917436016066965</c:v>
                </c:pt>
                <c:pt idx="40">
                  <c:v>20.116362293075976</c:v>
                </c:pt>
                <c:pt idx="41">
                  <c:v>0.17363149859921848</c:v>
                </c:pt>
                <c:pt idx="42">
                  <c:v>16.853526220614828</c:v>
                </c:pt>
                <c:pt idx="43">
                  <c:v>26.137009664582152</c:v>
                </c:pt>
                <c:pt idx="44">
                  <c:v>10.089343989487928</c:v>
                </c:pt>
                <c:pt idx="45">
                  <c:v>23.666595583357044</c:v>
                </c:pt>
                <c:pt idx="46">
                  <c:v>15.869618817495951</c:v>
                </c:pt>
                <c:pt idx="47">
                  <c:v>13.693300436515463</c:v>
                </c:pt>
                <c:pt idx="48">
                  <c:v>18.099371910300178</c:v>
                </c:pt>
                <c:pt idx="49">
                  <c:v>7.7996553574959826</c:v>
                </c:pt>
                <c:pt idx="50">
                  <c:v>25.700320532501518</c:v>
                </c:pt>
                <c:pt idx="51">
                  <c:v>9.5416444579811639</c:v>
                </c:pt>
                <c:pt idx="52">
                  <c:v>11.055197181037302</c:v>
                </c:pt>
                <c:pt idx="53">
                  <c:v>18.95436301164915</c:v>
                </c:pt>
                <c:pt idx="54">
                  <c:v>28.679494712103406</c:v>
                </c:pt>
                <c:pt idx="55">
                  <c:v>-7.9952593673078676</c:v>
                </c:pt>
                <c:pt idx="56">
                  <c:v>1.5360631432060017</c:v>
                </c:pt>
                <c:pt idx="57">
                  <c:v>-2.6096437596804449</c:v>
                </c:pt>
                <c:pt idx="58">
                  <c:v>20.200534502316817</c:v>
                </c:pt>
                <c:pt idx="59">
                  <c:v>-4.5294860234445586</c:v>
                </c:pt>
                <c:pt idx="60">
                  <c:v>-1.6869592748346554</c:v>
                </c:pt>
                <c:pt idx="61">
                  <c:v>-20.258327668252893</c:v>
                </c:pt>
                <c:pt idx="62">
                  <c:v>3.0818439195176226</c:v>
                </c:pt>
                <c:pt idx="63">
                  <c:v>26.522980021651399</c:v>
                </c:pt>
                <c:pt idx="64">
                  <c:v>-1.8998470323736087</c:v>
                </c:pt>
                <c:pt idx="65">
                  <c:v>27.25947826814588</c:v>
                </c:pt>
                <c:pt idx="66">
                  <c:v>12.216774119766136</c:v>
                </c:pt>
                <c:pt idx="67">
                  <c:v>15.167767676107008</c:v>
                </c:pt>
                <c:pt idx="68">
                  <c:v>23.063455627747722</c:v>
                </c:pt>
                <c:pt idx="69">
                  <c:v>17.78950594470836</c:v>
                </c:pt>
                <c:pt idx="70">
                  <c:v>11.557478026925637</c:v>
                </c:pt>
                <c:pt idx="71">
                  <c:v>2.9072173481211694</c:v>
                </c:pt>
                <c:pt idx="72">
                  <c:v>5.0350868206730546</c:v>
                </c:pt>
                <c:pt idx="73">
                  <c:v>18.094581221699109</c:v>
                </c:pt>
                <c:pt idx="74">
                  <c:v>3.1155329789121509</c:v>
                </c:pt>
                <c:pt idx="75">
                  <c:v>0.9597382764327369</c:v>
                </c:pt>
                <c:pt idx="76">
                  <c:v>-1.0183658110899423</c:v>
                </c:pt>
                <c:pt idx="77">
                  <c:v>21.268787264749168</c:v>
                </c:pt>
                <c:pt idx="78">
                  <c:v>7.1495447464930901</c:v>
                </c:pt>
                <c:pt idx="79">
                  <c:v>4.959606603442217</c:v>
                </c:pt>
                <c:pt idx="80">
                  <c:v>11.963690894854881</c:v>
                </c:pt>
                <c:pt idx="81">
                  <c:v>6.0711289960032948</c:v>
                </c:pt>
                <c:pt idx="82">
                  <c:v>4.5192499501296561</c:v>
                </c:pt>
                <c:pt idx="83">
                  <c:v>6.9810431244106992</c:v>
                </c:pt>
                <c:pt idx="84">
                  <c:v>4.4303368501909111</c:v>
                </c:pt>
                <c:pt idx="85">
                  <c:v>9.323023052232271</c:v>
                </c:pt>
                <c:pt idx="86">
                  <c:v>5.0979170837689871</c:v>
                </c:pt>
                <c:pt idx="87">
                  <c:v>12.648095606568631</c:v>
                </c:pt>
                <c:pt idx="88">
                  <c:v>12.984250809537823</c:v>
                </c:pt>
                <c:pt idx="89">
                  <c:v>-1.3153854348793321</c:v>
                </c:pt>
                <c:pt idx="90">
                  <c:v>9.377239138939796</c:v>
                </c:pt>
                <c:pt idx="91">
                  <c:v>9.5540022764801158</c:v>
                </c:pt>
                <c:pt idx="92">
                  <c:v>-2.2818455366098314</c:v>
                </c:pt>
                <c:pt idx="93">
                  <c:v>1.8295881787182005</c:v>
                </c:pt>
                <c:pt idx="94">
                  <c:v>-1.4648686230372523</c:v>
                </c:pt>
                <c:pt idx="95">
                  <c:v>15.619981113477671</c:v>
                </c:pt>
                <c:pt idx="96">
                  <c:v>2.2287903636733057</c:v>
                </c:pt>
                <c:pt idx="97">
                  <c:v>1.2365060163082147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6AC-41D5-BE1B-57B6553A70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53166015"/>
        <c:axId val="1353144383"/>
      </c:scatterChart>
      <c:valAx>
        <c:axId val="135316601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Inter" panose="020B0502030000000004" pitchFamily="34" charset="0"/>
                    <a:ea typeface="Inter" panose="020B0502030000000004" pitchFamily="34" charset="0"/>
                    <a:cs typeface="+mn-cs"/>
                  </a:defRPr>
                </a:pPr>
                <a:r>
                  <a:rPr lang="da-DK"/>
                  <a:t>Procentvis budgetoverskridelse børn / unge med særlige behov 2022</a:t>
                </a:r>
              </a:p>
            </c:rich>
          </c:tx>
          <c:layout>
            <c:manualLayout>
              <c:xMode val="edge"/>
              <c:yMode val="edge"/>
              <c:x val="0.22791985635264278"/>
              <c:y val="0.9172198732393176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Inter" panose="020B0502030000000004" pitchFamily="34" charset="0"/>
                  <a:ea typeface="Inter" panose="020B0502030000000004" pitchFamily="34" charset="0"/>
                  <a:cs typeface="+mn-cs"/>
                </a:defRPr>
              </a:pPr>
              <a:endParaRPr lang="da-DK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Inter" panose="020B0502030000000004" pitchFamily="34" charset="0"/>
                <a:ea typeface="Inter" panose="020B0502030000000004" pitchFamily="34" charset="0"/>
                <a:cs typeface="+mn-cs"/>
              </a:defRPr>
            </a:pPr>
            <a:endParaRPr lang="da-DK"/>
          </a:p>
        </c:txPr>
        <c:crossAx val="1353144383"/>
        <c:crosses val="autoZero"/>
        <c:crossBetween val="midCat"/>
      </c:valAx>
      <c:valAx>
        <c:axId val="1353144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Inter" panose="020B0502030000000004" pitchFamily="34" charset="0"/>
                    <a:ea typeface="Inter" panose="020B0502030000000004" pitchFamily="34" charset="0"/>
                    <a:cs typeface="+mn-cs"/>
                  </a:defRPr>
                </a:pPr>
                <a:r>
                  <a:rPr lang="da-DK"/>
                  <a:t>Procentvis budgetoverskridelse børn / unge med særlige behov 2023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Inter" panose="020B0502030000000004" pitchFamily="34" charset="0"/>
                  <a:ea typeface="Inter" panose="020B0502030000000004" pitchFamily="34" charset="0"/>
                  <a:cs typeface="+mn-cs"/>
                </a:defRPr>
              </a:pPr>
              <a:endParaRPr lang="da-DK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Inter" panose="020B0502030000000004" pitchFamily="34" charset="0"/>
                <a:ea typeface="Inter" panose="020B0502030000000004" pitchFamily="34" charset="0"/>
                <a:cs typeface="+mn-cs"/>
              </a:defRPr>
            </a:pPr>
            <a:endParaRPr lang="da-DK"/>
          </a:p>
        </c:txPr>
        <c:crossAx val="1353166015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Inter" panose="020B0502030000000004" pitchFamily="34" charset="0"/>
          <a:ea typeface="Inter" panose="020B0502030000000004" pitchFamily="34" charset="0"/>
        </a:defRPr>
      </a:pPr>
      <a:endParaRPr lang="da-D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VIVE NY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F1D30"/>
      </a:accent1>
      <a:accent2>
        <a:srgbClr val="E7A6AB"/>
      </a:accent2>
      <a:accent3>
        <a:srgbClr val="004F9B"/>
      </a:accent3>
      <a:accent4>
        <a:srgbClr val="4780B2"/>
      </a:accent4>
      <a:accent5>
        <a:srgbClr val="F6935B"/>
      </a:accent5>
      <a:accent6>
        <a:srgbClr val="9B9C4D"/>
      </a:accent6>
      <a:hlink>
        <a:srgbClr val="CC6633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D5A5-0E06-47D7-9051-DDA27E7A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VIVE enkel.dotx</Template>
  <TotalTime>0</TotalTime>
  <Pages>4</Pages>
  <Words>853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VIVE enkel</vt:lpstr>
    </vt:vector>
  </TitlesOfParts>
  <Company>VIVE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VIVE enkel</dc:title>
  <dc:subject/>
  <dc:creator>Karen Thulesen</dc:creator>
  <cp:keywords/>
  <dc:description/>
  <cp:lastModifiedBy>Nina Louise Aagaard</cp:lastModifiedBy>
  <cp:revision>2</cp:revision>
  <cp:lastPrinted>2022-05-07T09:59:00Z</cp:lastPrinted>
  <dcterms:created xsi:type="dcterms:W3CDTF">2024-05-23T10:34:00Z</dcterms:created>
  <dcterms:modified xsi:type="dcterms:W3CDTF">2024-05-23T10:34:00Z</dcterms:modified>
  <cp:category>Skabelon</cp:category>
</cp:coreProperties>
</file>